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FA" w:rsidRPr="00BA6176" w:rsidRDefault="008B181A" w:rsidP="00BA6176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07229">
        <w:rPr>
          <w:rFonts w:ascii="Times New Roman" w:hAnsi="Times New Roman" w:cs="Times New Roman"/>
          <w:b/>
          <w:sz w:val="28"/>
          <w:szCs w:val="28"/>
        </w:rPr>
        <w:t>ATIVIDA</w:t>
      </w:r>
      <w:r w:rsidR="00C8789D">
        <w:rPr>
          <w:rFonts w:ascii="Times New Roman" w:hAnsi="Times New Roman" w:cs="Times New Roman"/>
          <w:b/>
          <w:sz w:val="28"/>
          <w:szCs w:val="28"/>
        </w:rPr>
        <w:t>DES DE MONITORIA</w:t>
      </w:r>
      <w:r w:rsidR="00376F65">
        <w:rPr>
          <w:rFonts w:ascii="Times New Roman" w:hAnsi="Times New Roman" w:cs="Times New Roman"/>
          <w:b/>
          <w:sz w:val="28"/>
          <w:szCs w:val="28"/>
        </w:rPr>
        <w:t>, UMA NECESSIDADE REAL E BI</w:t>
      </w:r>
      <w:r w:rsidR="00C8789D">
        <w:rPr>
          <w:rFonts w:ascii="Times New Roman" w:hAnsi="Times New Roman" w:cs="Times New Roman"/>
          <w:b/>
          <w:sz w:val="28"/>
          <w:szCs w:val="28"/>
        </w:rPr>
        <w:t>LATERAL DENTRO DAS CIÊNCIAS AGRÁ</w:t>
      </w:r>
      <w:r w:rsidR="00376F65">
        <w:rPr>
          <w:rFonts w:ascii="Times New Roman" w:hAnsi="Times New Roman" w:cs="Times New Roman"/>
          <w:b/>
          <w:sz w:val="28"/>
          <w:szCs w:val="28"/>
        </w:rPr>
        <w:t>RIAS</w:t>
      </w:r>
      <w:r w:rsidR="00C21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76">
        <w:rPr>
          <w:rFonts w:ascii="Times New Roman" w:hAnsi="Times New Roman" w:cs="Times New Roman"/>
          <w:b/>
          <w:sz w:val="28"/>
          <w:szCs w:val="28"/>
          <w:vertAlign w:val="superscript"/>
        </w:rPr>
        <w:t>(1</w:t>
      </w:r>
      <w:proofErr w:type="gramStart"/>
      <w:r w:rsidR="00BA6176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proofErr w:type="gramEnd"/>
    </w:p>
    <w:p w:rsidR="009B7AC2" w:rsidRDefault="00750CB2" w:rsidP="009B7AC2">
      <w:pPr>
        <w:pStyle w:val="SemEspaamento"/>
        <w:spacing w:line="360" w:lineRule="auto"/>
        <w:jc w:val="right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 xml:space="preserve">Fábio </w:t>
      </w:r>
      <w:proofErr w:type="spellStart"/>
      <w:r>
        <w:rPr>
          <w:rFonts w:ascii="Times New Roman" w:hAnsi="Times New Roman"/>
          <w:bCs/>
          <w:sz w:val="24"/>
          <w:szCs w:val="24"/>
        </w:rPr>
        <w:t>Arau</w:t>
      </w:r>
      <w:r w:rsidR="000464FA" w:rsidRPr="00287C1F">
        <w:rPr>
          <w:rFonts w:ascii="Times New Roman" w:hAnsi="Times New Roman"/>
          <w:bCs/>
          <w:sz w:val="24"/>
          <w:szCs w:val="24"/>
        </w:rPr>
        <w:t>jo</w:t>
      </w:r>
      <w:proofErr w:type="spellEnd"/>
      <w:r w:rsidR="000464FA" w:rsidRPr="00287C1F">
        <w:rPr>
          <w:rFonts w:ascii="Times New Roman" w:hAnsi="Times New Roman"/>
          <w:bCs/>
          <w:sz w:val="24"/>
          <w:szCs w:val="24"/>
        </w:rPr>
        <w:t xml:space="preserve"> dos Santos</w:t>
      </w:r>
      <w:r w:rsidR="00770418" w:rsidRPr="00287C1F">
        <w:rPr>
          <w:rFonts w:ascii="Times New Roman" w:hAnsi="Times New Roman"/>
          <w:bCs/>
          <w:sz w:val="24"/>
          <w:szCs w:val="24"/>
        </w:rPr>
        <w:t xml:space="preserve"> </w:t>
      </w:r>
      <w:r w:rsidR="006C7276">
        <w:rPr>
          <w:rFonts w:ascii="Times New Roman" w:hAnsi="Times New Roman"/>
          <w:bCs/>
          <w:sz w:val="24"/>
          <w:szCs w:val="24"/>
          <w:vertAlign w:val="superscript"/>
        </w:rPr>
        <w:t>(2</w:t>
      </w:r>
      <w:r w:rsidR="00770418" w:rsidRPr="00C61815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037B21">
        <w:rPr>
          <w:rFonts w:ascii="Times New Roman" w:hAnsi="Times New Roman"/>
          <w:bCs/>
          <w:sz w:val="24"/>
          <w:szCs w:val="24"/>
        </w:rPr>
        <w:t>,</w:t>
      </w:r>
      <w:r w:rsidR="00547B5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64FA" w:rsidRPr="00287C1F">
        <w:rPr>
          <w:rFonts w:ascii="Times New Roman" w:hAnsi="Times New Roman"/>
          <w:bCs/>
          <w:sz w:val="24"/>
          <w:szCs w:val="24"/>
        </w:rPr>
        <w:t>Elizanilda</w:t>
      </w:r>
      <w:proofErr w:type="spellEnd"/>
      <w:r w:rsidR="000464FA" w:rsidRPr="00287C1F">
        <w:rPr>
          <w:rFonts w:ascii="Times New Roman" w:hAnsi="Times New Roman"/>
          <w:bCs/>
          <w:sz w:val="24"/>
          <w:szCs w:val="24"/>
        </w:rPr>
        <w:t xml:space="preserve"> Ramalho do Rêgo</w:t>
      </w:r>
      <w:r w:rsidR="00C61815">
        <w:rPr>
          <w:rFonts w:ascii="Times New Roman" w:hAnsi="Times New Roman"/>
          <w:bCs/>
          <w:sz w:val="24"/>
          <w:szCs w:val="24"/>
        </w:rPr>
        <w:t xml:space="preserve"> </w:t>
      </w:r>
      <w:r w:rsidR="006C7276">
        <w:rPr>
          <w:rFonts w:ascii="Times New Roman" w:hAnsi="Times New Roman"/>
          <w:bCs/>
          <w:sz w:val="24"/>
          <w:szCs w:val="24"/>
          <w:vertAlign w:val="superscript"/>
        </w:rPr>
        <w:t>(3</w:t>
      </w:r>
      <w:proofErr w:type="gramStart"/>
      <w:r w:rsidR="00A07229">
        <w:rPr>
          <w:rFonts w:ascii="Times New Roman" w:hAnsi="Times New Roman"/>
          <w:bCs/>
          <w:sz w:val="24"/>
          <w:szCs w:val="24"/>
          <w:vertAlign w:val="superscript"/>
        </w:rPr>
        <w:t>)</w:t>
      </w:r>
      <w:proofErr w:type="gramEnd"/>
    </w:p>
    <w:p w:rsidR="002B36ED" w:rsidRDefault="002B36ED" w:rsidP="009B4CEF">
      <w:pPr>
        <w:pStyle w:val="SemEspaamento"/>
        <w:spacing w:line="360" w:lineRule="auto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C21884" w:rsidRPr="002B36ED" w:rsidRDefault="00C21884" w:rsidP="009B4CEF">
      <w:pPr>
        <w:pStyle w:val="SemEspaamento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(1) </w:t>
      </w:r>
      <w:r w:rsidR="002B36ED">
        <w:rPr>
          <w:rFonts w:ascii="Times New Roman" w:hAnsi="Times New Roman"/>
          <w:bCs/>
          <w:sz w:val="24"/>
          <w:szCs w:val="24"/>
        </w:rPr>
        <w:t xml:space="preserve">Projeto de monitoria da disciplina </w:t>
      </w:r>
      <w:r w:rsidR="009B4CEF">
        <w:rPr>
          <w:rFonts w:ascii="Times New Roman" w:hAnsi="Times New Roman"/>
          <w:bCs/>
          <w:sz w:val="24"/>
          <w:szCs w:val="24"/>
        </w:rPr>
        <w:t>Estatística</w:t>
      </w:r>
      <w:r w:rsidR="002B36ED">
        <w:rPr>
          <w:rFonts w:ascii="Times New Roman" w:hAnsi="Times New Roman"/>
          <w:bCs/>
          <w:sz w:val="24"/>
          <w:szCs w:val="24"/>
        </w:rPr>
        <w:t xml:space="preserve"> Geral</w:t>
      </w:r>
    </w:p>
    <w:p w:rsidR="006C7276" w:rsidRPr="00D353C8" w:rsidRDefault="006C7276" w:rsidP="009B4CEF">
      <w:pPr>
        <w:pStyle w:val="Textodenotaderodap"/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D353C8">
        <w:rPr>
          <w:rFonts w:ascii="Times New Roman" w:hAnsi="Times New Roman"/>
          <w:sz w:val="24"/>
          <w:szCs w:val="24"/>
          <w:vertAlign w:val="superscript"/>
        </w:rPr>
        <w:t>(2)</w:t>
      </w:r>
      <w:r w:rsidRPr="00D35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Monitor </w:t>
      </w:r>
      <w:r w:rsidR="00BA6176">
        <w:rPr>
          <w:rFonts w:ascii="Times New Roman" w:hAnsi="Times New Roman"/>
          <w:sz w:val="24"/>
          <w:szCs w:val="24"/>
        </w:rPr>
        <w:t>voluntário</w:t>
      </w:r>
      <w:r w:rsidRPr="00D353C8">
        <w:rPr>
          <w:rFonts w:ascii="Times New Roman" w:hAnsi="Times New Roman"/>
          <w:sz w:val="24"/>
          <w:szCs w:val="24"/>
        </w:rPr>
        <w:t xml:space="preserve">, graduando do </w:t>
      </w:r>
      <w:r>
        <w:rPr>
          <w:rFonts w:ascii="Times New Roman" w:hAnsi="Times New Roman"/>
          <w:sz w:val="24"/>
          <w:szCs w:val="24"/>
        </w:rPr>
        <w:t>curso de Agronomia pelo CCA/</w:t>
      </w:r>
      <w:proofErr w:type="gramStart"/>
      <w:r>
        <w:rPr>
          <w:rFonts w:ascii="Times New Roman" w:hAnsi="Times New Roman"/>
          <w:sz w:val="24"/>
          <w:szCs w:val="24"/>
        </w:rPr>
        <w:t>UFPB</w:t>
      </w:r>
      <w:proofErr w:type="gramEnd"/>
    </w:p>
    <w:p w:rsidR="000464FA" w:rsidRDefault="006C7276" w:rsidP="009B4CEF">
      <w:pPr>
        <w:pStyle w:val="Textodenotaderodap"/>
        <w:spacing w:line="360" w:lineRule="auto"/>
        <w:rPr>
          <w:rFonts w:ascii="Times New Roman" w:hAnsi="Times New Roman"/>
          <w:sz w:val="24"/>
          <w:szCs w:val="24"/>
        </w:rPr>
      </w:pPr>
      <w:r w:rsidRPr="00D353C8">
        <w:rPr>
          <w:rFonts w:ascii="Times New Roman" w:hAnsi="Times New Roman"/>
          <w:sz w:val="24"/>
          <w:szCs w:val="24"/>
          <w:vertAlign w:val="superscript"/>
        </w:rPr>
        <w:t>(3)</w:t>
      </w:r>
      <w:r w:rsidR="00365731">
        <w:rPr>
          <w:rFonts w:ascii="Times New Roman" w:hAnsi="Times New Roman"/>
          <w:sz w:val="24"/>
          <w:szCs w:val="24"/>
        </w:rPr>
        <w:t xml:space="preserve"> Professora </w:t>
      </w:r>
      <w:proofErr w:type="gramStart"/>
      <w:r w:rsidR="00365731">
        <w:rPr>
          <w:rFonts w:ascii="Times New Roman" w:hAnsi="Times New Roman"/>
          <w:sz w:val="24"/>
          <w:szCs w:val="24"/>
        </w:rPr>
        <w:t>coordenadora/</w:t>
      </w:r>
      <w:r w:rsidRPr="00D353C8">
        <w:rPr>
          <w:rFonts w:ascii="Times New Roman" w:hAnsi="Times New Roman"/>
          <w:sz w:val="24"/>
          <w:szCs w:val="24"/>
        </w:rPr>
        <w:t>orientador</w:t>
      </w:r>
      <w:r w:rsidR="009B4CEF">
        <w:rPr>
          <w:rFonts w:ascii="Times New Roman" w:hAnsi="Times New Roman"/>
          <w:sz w:val="24"/>
          <w:szCs w:val="24"/>
        </w:rPr>
        <w:t>a</w:t>
      </w:r>
      <w:proofErr w:type="gramEnd"/>
      <w:r w:rsidR="00365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projeto</w:t>
      </w:r>
    </w:p>
    <w:p w:rsidR="00EB4051" w:rsidRPr="00D70472" w:rsidRDefault="00EB4051" w:rsidP="009B4CEF">
      <w:pPr>
        <w:pStyle w:val="Textodenotaderodap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A2753" w:rsidRDefault="000A2753" w:rsidP="009B4CEF">
      <w:pPr>
        <w:pStyle w:val="SemEspaamento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7C1F">
        <w:rPr>
          <w:rFonts w:ascii="Times New Roman" w:hAnsi="Times New Roman"/>
          <w:bCs/>
          <w:sz w:val="24"/>
          <w:szCs w:val="24"/>
        </w:rPr>
        <w:t>Centro de Ciências Agrárias/Departamento de Ciências Fundamentais e Sociais/MONITORIA</w:t>
      </w:r>
    </w:p>
    <w:p w:rsidR="00C8789D" w:rsidRDefault="00C8789D" w:rsidP="009B4CEF">
      <w:pPr>
        <w:pStyle w:val="SemEspaamento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B4051" w:rsidRPr="00D70472" w:rsidRDefault="00EB4051" w:rsidP="00EB4051">
      <w:pPr>
        <w:pStyle w:val="SemEspaamento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7C1F" w:rsidRPr="00287C1F" w:rsidRDefault="00FF19F9" w:rsidP="00BA617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>O presente trabalho pretende relacionar a importância da estatística na atualidade co</w:t>
      </w:r>
      <w:r w:rsidR="00083FB6">
        <w:rPr>
          <w:rFonts w:ascii="Times New Roman" w:hAnsi="Times New Roman" w:cs="Times New Roman"/>
          <w:sz w:val="24"/>
          <w:szCs w:val="24"/>
        </w:rPr>
        <w:t>m as atividades de monitoria disponibilizadas</w:t>
      </w:r>
      <w:r w:rsidR="000F1B30">
        <w:rPr>
          <w:rFonts w:ascii="Times New Roman" w:hAnsi="Times New Roman" w:cs="Times New Roman"/>
          <w:sz w:val="24"/>
          <w:szCs w:val="24"/>
        </w:rPr>
        <w:t xml:space="preserve"> pelas</w:t>
      </w:r>
      <w:r w:rsidR="00083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instituições</w:t>
      </w:r>
      <w:r w:rsidR="002D772F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ensino s</w:t>
      </w:r>
      <w:r w:rsidR="00083FB6">
        <w:rPr>
          <w:rFonts w:ascii="Times New Roman" w:hAnsi="Times New Roman" w:cs="Times New Roman"/>
          <w:sz w:val="24"/>
          <w:szCs w:val="24"/>
        </w:rPr>
        <w:t xml:space="preserve">uperior. </w:t>
      </w:r>
      <w:r w:rsidR="00DA0050">
        <w:rPr>
          <w:rFonts w:ascii="Times New Roman" w:hAnsi="Times New Roman" w:cs="Times New Roman"/>
          <w:sz w:val="24"/>
          <w:szCs w:val="24"/>
        </w:rPr>
        <w:t>Desse modo, este projeto</w:t>
      </w:r>
      <w:r w:rsidR="00083FB6">
        <w:rPr>
          <w:rFonts w:ascii="Times New Roman" w:hAnsi="Times New Roman" w:cs="Times New Roman"/>
          <w:sz w:val="24"/>
          <w:szCs w:val="24"/>
        </w:rPr>
        <w:t xml:space="preserve"> foi realizado no </w:t>
      </w:r>
      <w:r w:rsidR="00083FB6" w:rsidRPr="00083FB6">
        <w:rPr>
          <w:rFonts w:ascii="Times New Roman" w:hAnsi="Times New Roman" w:cs="Times New Roman"/>
          <w:sz w:val="24"/>
          <w:szCs w:val="24"/>
        </w:rPr>
        <w:t>Centro de Ciências Agrárias da Universidade Federal da Paraíba durante o</w:t>
      </w:r>
      <w:r w:rsidR="00A336D0">
        <w:rPr>
          <w:rFonts w:ascii="Times New Roman" w:hAnsi="Times New Roman" w:cs="Times New Roman"/>
          <w:sz w:val="24"/>
          <w:szCs w:val="24"/>
        </w:rPr>
        <w:t>s</w:t>
      </w:r>
      <w:r w:rsidR="00083FB6" w:rsidRPr="00083FB6">
        <w:rPr>
          <w:rFonts w:ascii="Times New Roman" w:hAnsi="Times New Roman" w:cs="Times New Roman"/>
          <w:sz w:val="24"/>
          <w:szCs w:val="24"/>
        </w:rPr>
        <w:t xml:space="preserve"> período</w:t>
      </w:r>
      <w:r w:rsidR="00A336D0">
        <w:rPr>
          <w:rFonts w:ascii="Times New Roman" w:hAnsi="Times New Roman" w:cs="Times New Roman"/>
          <w:sz w:val="24"/>
          <w:szCs w:val="24"/>
        </w:rPr>
        <w:t>s</w:t>
      </w:r>
      <w:r w:rsidR="00083FB6" w:rsidRPr="00083FB6">
        <w:rPr>
          <w:rFonts w:ascii="Times New Roman" w:hAnsi="Times New Roman" w:cs="Times New Roman"/>
          <w:sz w:val="24"/>
          <w:szCs w:val="24"/>
        </w:rPr>
        <w:t xml:space="preserve"> letivo</w:t>
      </w:r>
      <w:r w:rsidR="00A336D0">
        <w:rPr>
          <w:rFonts w:ascii="Times New Roman" w:hAnsi="Times New Roman" w:cs="Times New Roman"/>
          <w:sz w:val="24"/>
          <w:szCs w:val="24"/>
        </w:rPr>
        <w:t>s</w:t>
      </w:r>
      <w:r w:rsidR="00083FB6" w:rsidRPr="00083FB6">
        <w:rPr>
          <w:rFonts w:ascii="Times New Roman" w:hAnsi="Times New Roman" w:cs="Times New Roman"/>
          <w:sz w:val="24"/>
          <w:szCs w:val="24"/>
        </w:rPr>
        <w:t xml:space="preserve"> 2012.2</w:t>
      </w:r>
      <w:r w:rsidR="00A336D0">
        <w:rPr>
          <w:rFonts w:ascii="Times New Roman" w:hAnsi="Times New Roman" w:cs="Times New Roman"/>
          <w:sz w:val="24"/>
          <w:szCs w:val="24"/>
        </w:rPr>
        <w:t xml:space="preserve"> e 2013.1,</w:t>
      </w:r>
      <w:r w:rsidR="00DA0050">
        <w:rPr>
          <w:rFonts w:ascii="Times New Roman" w:hAnsi="Times New Roman" w:cs="Times New Roman"/>
          <w:sz w:val="24"/>
          <w:szCs w:val="24"/>
        </w:rPr>
        <w:t xml:space="preserve"> com a finalidade de promover o acompanhamento dos alunos durante sua trajetória acadêmica, bem como auxilia-los </w:t>
      </w:r>
      <w:r w:rsidR="000F1B30">
        <w:rPr>
          <w:rFonts w:ascii="Times New Roman" w:hAnsi="Times New Roman" w:cs="Times New Roman"/>
          <w:sz w:val="24"/>
          <w:szCs w:val="24"/>
        </w:rPr>
        <w:t>na resolução de questionamentos, no compreender e interpretar de problemáticas referentes ao</w:t>
      </w:r>
      <w:r w:rsidR="002D772F">
        <w:rPr>
          <w:rFonts w:ascii="Times New Roman" w:hAnsi="Times New Roman" w:cs="Times New Roman"/>
          <w:sz w:val="24"/>
          <w:szCs w:val="24"/>
        </w:rPr>
        <w:t>s</w:t>
      </w:r>
      <w:r w:rsidR="000F1B30">
        <w:rPr>
          <w:rFonts w:ascii="Times New Roman" w:hAnsi="Times New Roman" w:cs="Times New Roman"/>
          <w:sz w:val="24"/>
          <w:szCs w:val="24"/>
        </w:rPr>
        <w:t xml:space="preserve"> temas abordados</w:t>
      </w:r>
      <w:r w:rsidR="0056446A">
        <w:rPr>
          <w:rFonts w:ascii="Times New Roman" w:hAnsi="Times New Roman" w:cs="Times New Roman"/>
          <w:sz w:val="24"/>
          <w:szCs w:val="24"/>
        </w:rPr>
        <w:t>.</w:t>
      </w:r>
      <w:r w:rsidR="00F70B8C">
        <w:rPr>
          <w:rFonts w:ascii="Times New Roman" w:hAnsi="Times New Roman" w:cs="Times New Roman"/>
          <w:sz w:val="24"/>
          <w:szCs w:val="24"/>
        </w:rPr>
        <w:t xml:space="preserve"> Com o termino do período pode-se</w:t>
      </w:r>
      <w:r w:rsidR="0080543A">
        <w:rPr>
          <w:rFonts w:ascii="Times New Roman" w:hAnsi="Times New Roman" w:cs="Times New Roman"/>
          <w:sz w:val="24"/>
          <w:szCs w:val="24"/>
        </w:rPr>
        <w:t xml:space="preserve"> avaliar o </w:t>
      </w:r>
      <w:r w:rsidR="00B138CD">
        <w:rPr>
          <w:rFonts w:ascii="Times New Roman" w:hAnsi="Times New Roman" w:cs="Times New Roman"/>
          <w:sz w:val="24"/>
          <w:szCs w:val="24"/>
        </w:rPr>
        <w:t>dese</w:t>
      </w:r>
      <w:r w:rsidR="00287C1F">
        <w:rPr>
          <w:rFonts w:ascii="Times New Roman" w:hAnsi="Times New Roman" w:cs="Times New Roman"/>
          <w:sz w:val="24"/>
          <w:szCs w:val="24"/>
        </w:rPr>
        <w:t>nvolvimento</w:t>
      </w:r>
      <w:r w:rsidR="00182F3D">
        <w:rPr>
          <w:rFonts w:ascii="Times New Roman" w:hAnsi="Times New Roman" w:cs="Times New Roman"/>
          <w:sz w:val="24"/>
          <w:szCs w:val="24"/>
        </w:rPr>
        <w:t xml:space="preserve"> dos</w:t>
      </w:r>
      <w:r w:rsidR="00B138CD">
        <w:rPr>
          <w:rFonts w:ascii="Times New Roman" w:hAnsi="Times New Roman" w:cs="Times New Roman"/>
          <w:sz w:val="24"/>
          <w:szCs w:val="24"/>
        </w:rPr>
        <w:t xml:space="preserve"> mediante seu</w:t>
      </w:r>
      <w:r w:rsidR="0080543A">
        <w:rPr>
          <w:rFonts w:ascii="Times New Roman" w:hAnsi="Times New Roman" w:cs="Times New Roman"/>
          <w:sz w:val="24"/>
          <w:szCs w:val="24"/>
        </w:rPr>
        <w:t>s</w:t>
      </w:r>
      <w:r w:rsidR="00B138CD">
        <w:rPr>
          <w:rFonts w:ascii="Times New Roman" w:hAnsi="Times New Roman" w:cs="Times New Roman"/>
          <w:sz w:val="24"/>
          <w:szCs w:val="24"/>
        </w:rPr>
        <w:t xml:space="preserve"> desempenho</w:t>
      </w:r>
      <w:r w:rsidR="0080543A">
        <w:rPr>
          <w:rFonts w:ascii="Times New Roman" w:hAnsi="Times New Roman" w:cs="Times New Roman"/>
          <w:sz w:val="24"/>
          <w:szCs w:val="24"/>
        </w:rPr>
        <w:t>s</w:t>
      </w:r>
      <w:r w:rsidR="00B138CD">
        <w:rPr>
          <w:rFonts w:ascii="Times New Roman" w:hAnsi="Times New Roman" w:cs="Times New Roman"/>
          <w:sz w:val="24"/>
          <w:szCs w:val="24"/>
        </w:rPr>
        <w:t xml:space="preserve"> na disciplina</w:t>
      </w:r>
      <w:r w:rsidR="0080543A">
        <w:rPr>
          <w:rFonts w:ascii="Times New Roman" w:hAnsi="Times New Roman" w:cs="Times New Roman"/>
          <w:sz w:val="24"/>
          <w:szCs w:val="24"/>
        </w:rPr>
        <w:t>, as monitorias por fim contribuíram significativamente para o</w:t>
      </w:r>
      <w:r w:rsidR="0056446A">
        <w:rPr>
          <w:rFonts w:ascii="Times New Roman" w:hAnsi="Times New Roman" w:cs="Times New Roman"/>
          <w:sz w:val="24"/>
          <w:szCs w:val="24"/>
        </w:rPr>
        <w:t xml:space="preserve"> êxito acadêmico</w:t>
      </w:r>
      <w:r w:rsidR="0080543A">
        <w:rPr>
          <w:rFonts w:ascii="Times New Roman" w:hAnsi="Times New Roman" w:cs="Times New Roman"/>
          <w:sz w:val="24"/>
          <w:szCs w:val="24"/>
        </w:rPr>
        <w:t xml:space="preserve"> dos alunos</w:t>
      </w:r>
      <w:r w:rsidR="0056446A">
        <w:rPr>
          <w:rFonts w:ascii="Times New Roman" w:hAnsi="Times New Roman" w:cs="Times New Roman"/>
          <w:sz w:val="24"/>
          <w:szCs w:val="24"/>
        </w:rPr>
        <w:t>,</w:t>
      </w:r>
      <w:r w:rsidR="004F3286">
        <w:rPr>
          <w:rFonts w:ascii="Times New Roman" w:hAnsi="Times New Roman" w:cs="Times New Roman"/>
          <w:sz w:val="24"/>
          <w:szCs w:val="24"/>
        </w:rPr>
        <w:t xml:space="preserve"> e</w:t>
      </w:r>
      <w:r w:rsidR="00182F3D">
        <w:rPr>
          <w:rFonts w:ascii="Times New Roman" w:hAnsi="Times New Roman" w:cs="Times New Roman"/>
          <w:sz w:val="24"/>
          <w:szCs w:val="24"/>
        </w:rPr>
        <w:t xml:space="preserve"> de forma indireta permitiram as alunos</w:t>
      </w:r>
      <w:r w:rsidR="0080543A">
        <w:rPr>
          <w:rFonts w:ascii="Times New Roman" w:hAnsi="Times New Roman" w:cs="Times New Roman"/>
          <w:sz w:val="24"/>
          <w:szCs w:val="24"/>
        </w:rPr>
        <w:t xml:space="preserve"> adquires embasamentos </w:t>
      </w:r>
      <w:r w:rsidR="008B181A">
        <w:rPr>
          <w:rFonts w:ascii="Times New Roman" w:hAnsi="Times New Roman" w:cs="Times New Roman"/>
          <w:sz w:val="24"/>
          <w:szCs w:val="24"/>
        </w:rPr>
        <w:t xml:space="preserve">que </w:t>
      </w:r>
      <w:r w:rsidR="007C7784">
        <w:rPr>
          <w:rFonts w:ascii="Times New Roman" w:hAnsi="Times New Roman" w:cs="Times New Roman"/>
          <w:sz w:val="24"/>
          <w:szCs w:val="24"/>
        </w:rPr>
        <w:t>se tornaram</w:t>
      </w:r>
      <w:r w:rsidR="00182F3D">
        <w:rPr>
          <w:rFonts w:ascii="Times New Roman" w:hAnsi="Times New Roman" w:cs="Times New Roman"/>
          <w:sz w:val="24"/>
          <w:szCs w:val="24"/>
        </w:rPr>
        <w:t xml:space="preserve"> a principio</w:t>
      </w:r>
      <w:r w:rsidR="008B181A">
        <w:rPr>
          <w:rFonts w:ascii="Times New Roman" w:hAnsi="Times New Roman" w:cs="Times New Roman"/>
          <w:sz w:val="24"/>
          <w:szCs w:val="24"/>
        </w:rPr>
        <w:t xml:space="preserve"> o ponto de partida para </w:t>
      </w:r>
      <w:r w:rsidR="00DC0B66">
        <w:rPr>
          <w:rFonts w:ascii="Times New Roman" w:hAnsi="Times New Roman" w:cs="Times New Roman"/>
          <w:sz w:val="24"/>
          <w:szCs w:val="24"/>
        </w:rPr>
        <w:t>prepara</w:t>
      </w:r>
      <w:r w:rsidR="0056446A">
        <w:rPr>
          <w:rFonts w:ascii="Times New Roman" w:hAnsi="Times New Roman" w:cs="Times New Roman"/>
          <w:sz w:val="24"/>
          <w:szCs w:val="24"/>
        </w:rPr>
        <w:t>-los (</w:t>
      </w:r>
      <w:r w:rsidR="00DC0B66">
        <w:rPr>
          <w:rFonts w:ascii="Times New Roman" w:hAnsi="Times New Roman" w:cs="Times New Roman"/>
          <w:sz w:val="24"/>
          <w:szCs w:val="24"/>
        </w:rPr>
        <w:t xml:space="preserve">discentes </w:t>
      </w:r>
      <w:r w:rsidR="0056446A">
        <w:rPr>
          <w:rFonts w:ascii="Times New Roman" w:hAnsi="Times New Roman" w:cs="Times New Roman"/>
          <w:sz w:val="24"/>
          <w:szCs w:val="24"/>
        </w:rPr>
        <w:t>alunos, docentes-</w:t>
      </w:r>
      <w:r w:rsidR="00D353C8">
        <w:rPr>
          <w:rFonts w:ascii="Times New Roman" w:hAnsi="Times New Roman" w:cs="Times New Roman"/>
          <w:sz w:val="24"/>
          <w:szCs w:val="24"/>
        </w:rPr>
        <w:t>monitores)</w:t>
      </w:r>
      <w:proofErr w:type="gramStart"/>
      <w:r w:rsidR="00D353C8">
        <w:rPr>
          <w:rFonts w:ascii="Times New Roman" w:hAnsi="Times New Roman" w:cs="Times New Roman"/>
          <w:sz w:val="24"/>
          <w:szCs w:val="24"/>
        </w:rPr>
        <w:t xml:space="preserve"> </w:t>
      </w:r>
      <w:r w:rsidR="00DC0B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C0B66">
        <w:rPr>
          <w:rFonts w:ascii="Times New Roman" w:hAnsi="Times New Roman" w:cs="Times New Roman"/>
          <w:sz w:val="24"/>
          <w:szCs w:val="24"/>
        </w:rPr>
        <w:t>para sua</w:t>
      </w:r>
      <w:r w:rsidR="004F3286">
        <w:rPr>
          <w:rFonts w:ascii="Times New Roman" w:hAnsi="Times New Roman" w:cs="Times New Roman"/>
          <w:sz w:val="24"/>
          <w:szCs w:val="24"/>
        </w:rPr>
        <w:t>s</w:t>
      </w:r>
      <w:r w:rsidR="00DC0B66">
        <w:rPr>
          <w:rFonts w:ascii="Times New Roman" w:hAnsi="Times New Roman" w:cs="Times New Roman"/>
          <w:sz w:val="24"/>
          <w:szCs w:val="24"/>
        </w:rPr>
        <w:t xml:space="preserve"> carreira</w:t>
      </w:r>
      <w:r w:rsidR="004F3286">
        <w:rPr>
          <w:rFonts w:ascii="Times New Roman" w:hAnsi="Times New Roman" w:cs="Times New Roman"/>
          <w:sz w:val="24"/>
          <w:szCs w:val="24"/>
        </w:rPr>
        <w:t>s profissionais</w:t>
      </w:r>
      <w:r w:rsidR="00DC0B66">
        <w:rPr>
          <w:rFonts w:ascii="Times New Roman" w:hAnsi="Times New Roman" w:cs="Times New Roman"/>
          <w:sz w:val="24"/>
          <w:szCs w:val="24"/>
        </w:rPr>
        <w:t>.</w:t>
      </w:r>
    </w:p>
    <w:p w:rsidR="000464FA" w:rsidRDefault="002D772F" w:rsidP="00BA6176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0B66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Importância da estatística, Ensino, Acompanhamento.</w:t>
      </w:r>
    </w:p>
    <w:p w:rsidR="00157E1F" w:rsidRPr="007205D0" w:rsidRDefault="007205D0" w:rsidP="00A96CCF">
      <w:pPr>
        <w:tabs>
          <w:tab w:val="left" w:pos="284"/>
        </w:tabs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INTRODUÇÃO</w:t>
      </w:r>
    </w:p>
    <w:p w:rsidR="00E02034" w:rsidRPr="00651B82" w:rsidRDefault="004C06D9" w:rsidP="00A96CCF">
      <w:pPr>
        <w:tabs>
          <w:tab w:val="left" w:pos="11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B82">
        <w:rPr>
          <w:rFonts w:ascii="Times New Roman" w:hAnsi="Times New Roman" w:cs="Times New Roman"/>
          <w:sz w:val="24"/>
          <w:szCs w:val="24"/>
        </w:rPr>
        <w:t>A estatística, hoje em dia, desempenha um papel de crescente importância num mundo altamente complex</w:t>
      </w:r>
      <w:r w:rsidR="0054428B" w:rsidRPr="00651B82">
        <w:rPr>
          <w:rFonts w:ascii="Times New Roman" w:hAnsi="Times New Roman" w:cs="Times New Roman"/>
          <w:sz w:val="24"/>
          <w:szCs w:val="24"/>
        </w:rPr>
        <w:t>o como é o nosso. Todos os dias</w:t>
      </w:r>
      <w:r w:rsidRPr="00651B82">
        <w:rPr>
          <w:rFonts w:ascii="Times New Roman" w:hAnsi="Times New Roman" w:cs="Times New Roman"/>
          <w:sz w:val="24"/>
          <w:szCs w:val="24"/>
        </w:rPr>
        <w:t>, nos jornas, nas revistas, na radio e na televisão, as</w:t>
      </w:r>
      <w:r w:rsidR="001C5C40">
        <w:rPr>
          <w:rFonts w:ascii="Times New Roman" w:hAnsi="Times New Roman" w:cs="Times New Roman"/>
          <w:sz w:val="24"/>
          <w:szCs w:val="24"/>
        </w:rPr>
        <w:t>sim como em livros e relatórios</w:t>
      </w:r>
      <w:r w:rsidRPr="00651B82">
        <w:rPr>
          <w:rFonts w:ascii="Times New Roman" w:hAnsi="Times New Roman" w:cs="Times New Roman"/>
          <w:sz w:val="24"/>
          <w:szCs w:val="24"/>
        </w:rPr>
        <w:t>, somos confrontados com tabelas, gráficos</w:t>
      </w:r>
      <w:r w:rsidR="000E2F60" w:rsidRPr="00651B82">
        <w:rPr>
          <w:rFonts w:ascii="Times New Roman" w:hAnsi="Times New Roman" w:cs="Times New Roman"/>
          <w:sz w:val="24"/>
          <w:szCs w:val="24"/>
        </w:rPr>
        <w:t xml:space="preserve">, </w:t>
      </w:r>
      <w:r w:rsidR="009C550C">
        <w:rPr>
          <w:rFonts w:ascii="Times New Roman" w:hAnsi="Times New Roman" w:cs="Times New Roman"/>
          <w:sz w:val="24"/>
          <w:szCs w:val="24"/>
        </w:rPr>
        <w:t>e sondagens e</w:t>
      </w:r>
      <w:r w:rsidR="000E2F60" w:rsidRPr="00651B82">
        <w:rPr>
          <w:rFonts w:ascii="Times New Roman" w:hAnsi="Times New Roman" w:cs="Times New Roman"/>
          <w:sz w:val="24"/>
          <w:szCs w:val="24"/>
        </w:rPr>
        <w:t xml:space="preserve"> mapas</w:t>
      </w:r>
      <w:r w:rsidR="009C550C">
        <w:rPr>
          <w:rFonts w:ascii="Times New Roman" w:hAnsi="Times New Roman" w:cs="Times New Roman"/>
          <w:sz w:val="24"/>
          <w:szCs w:val="24"/>
        </w:rPr>
        <w:t xml:space="preserve"> </w:t>
      </w:r>
      <w:r w:rsidR="00746441" w:rsidRPr="00651B82">
        <w:rPr>
          <w:rFonts w:ascii="Times New Roman" w:hAnsi="Times New Roman" w:cs="Times New Roman"/>
          <w:sz w:val="24"/>
          <w:szCs w:val="24"/>
        </w:rPr>
        <w:t xml:space="preserve">que </w:t>
      </w:r>
      <w:r w:rsidRPr="00651B82">
        <w:rPr>
          <w:rFonts w:ascii="Times New Roman" w:hAnsi="Times New Roman" w:cs="Times New Roman"/>
          <w:sz w:val="24"/>
          <w:szCs w:val="24"/>
        </w:rPr>
        <w:t>contêm informação estatística s</w:t>
      </w:r>
      <w:r w:rsidR="009C550C">
        <w:rPr>
          <w:rFonts w:ascii="Times New Roman" w:hAnsi="Times New Roman" w:cs="Times New Roman"/>
          <w:sz w:val="24"/>
          <w:szCs w:val="24"/>
        </w:rPr>
        <w:t>obre os mais diversos fenômenos,</w:t>
      </w:r>
      <w:r w:rsidRPr="00651B82">
        <w:rPr>
          <w:rFonts w:ascii="Times New Roman" w:hAnsi="Times New Roman" w:cs="Times New Roman"/>
          <w:sz w:val="24"/>
          <w:szCs w:val="24"/>
        </w:rPr>
        <w:t xml:space="preserve"> atividades.</w:t>
      </w:r>
      <w:r w:rsidR="00E02034" w:rsidRPr="00651B82">
        <w:rPr>
          <w:rFonts w:ascii="Times New Roman" w:hAnsi="Times New Roman" w:cs="Times New Roman"/>
          <w:sz w:val="24"/>
          <w:szCs w:val="24"/>
        </w:rPr>
        <w:t xml:space="preserve"> De facto a estatística é um área da matemática em que tem havido uma grande evolução, não só no próprio tema como n</w:t>
      </w:r>
      <w:r w:rsidR="00B74814" w:rsidRPr="00651B82">
        <w:rPr>
          <w:rFonts w:ascii="Times New Roman" w:hAnsi="Times New Roman" w:cs="Times New Roman"/>
          <w:sz w:val="24"/>
          <w:szCs w:val="24"/>
        </w:rPr>
        <w:t xml:space="preserve">as suas aplicações na </w:t>
      </w:r>
      <w:r w:rsidR="00751A64">
        <w:rPr>
          <w:rFonts w:ascii="Times New Roman" w:hAnsi="Times New Roman" w:cs="Times New Roman"/>
          <w:sz w:val="24"/>
          <w:szCs w:val="24"/>
        </w:rPr>
        <w:t>sociedade</w:t>
      </w:r>
      <w:r w:rsidR="00376F65">
        <w:rPr>
          <w:rFonts w:ascii="Times New Roman" w:hAnsi="Times New Roman" w:cs="Times New Roman"/>
          <w:sz w:val="24"/>
          <w:szCs w:val="24"/>
        </w:rPr>
        <w:t xml:space="preserve"> (SALSBURG</w:t>
      </w:r>
      <w:r w:rsidR="00751A64">
        <w:rPr>
          <w:rFonts w:ascii="Times New Roman" w:hAnsi="Times New Roman" w:cs="Times New Roman"/>
          <w:sz w:val="24"/>
          <w:szCs w:val="24"/>
        </w:rPr>
        <w:t>,</w:t>
      </w:r>
      <w:r w:rsidR="00751A64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751A64" w:rsidRPr="00651B82">
        <w:rPr>
          <w:rFonts w:ascii="Times New Roman" w:hAnsi="Times New Roman" w:cs="Times New Roman"/>
          <w:sz w:val="24"/>
          <w:szCs w:val="24"/>
        </w:rPr>
        <w:lastRenderedPageBreak/>
        <w:t>2009)</w:t>
      </w:r>
      <w:r w:rsidR="00751A64">
        <w:rPr>
          <w:rFonts w:ascii="Times New Roman" w:hAnsi="Times New Roman" w:cs="Times New Roman"/>
          <w:sz w:val="24"/>
          <w:szCs w:val="24"/>
        </w:rPr>
        <w:t xml:space="preserve">. </w:t>
      </w:r>
      <w:r w:rsidR="00674B68" w:rsidRPr="00651B82">
        <w:rPr>
          <w:rFonts w:ascii="Times New Roman" w:hAnsi="Times New Roman" w:cs="Times New Roman"/>
          <w:sz w:val="24"/>
          <w:szCs w:val="24"/>
        </w:rPr>
        <w:t>Tornando-se</w:t>
      </w:r>
      <w:r w:rsidR="00E27A28" w:rsidRPr="00651B82">
        <w:rPr>
          <w:rFonts w:ascii="Times New Roman" w:hAnsi="Times New Roman" w:cs="Times New Roman"/>
          <w:sz w:val="24"/>
          <w:szCs w:val="24"/>
        </w:rPr>
        <w:t xml:space="preserve"> desta forma ponto fundamental em discussões e questionamentos nas mais diversas áreas de ensino, o que</w:t>
      </w:r>
      <w:r w:rsidR="00FE2A96">
        <w:rPr>
          <w:rFonts w:ascii="Times New Roman" w:hAnsi="Times New Roman" w:cs="Times New Roman"/>
          <w:sz w:val="24"/>
          <w:szCs w:val="24"/>
        </w:rPr>
        <w:t xml:space="preserve"> promoveu sua incorporação </w:t>
      </w:r>
      <w:proofErr w:type="gramStart"/>
      <w:r w:rsidR="00FE2A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E2A96">
        <w:rPr>
          <w:rFonts w:ascii="Times New Roman" w:hAnsi="Times New Roman" w:cs="Times New Roman"/>
          <w:sz w:val="24"/>
          <w:szCs w:val="24"/>
        </w:rPr>
        <w:t xml:space="preserve"> gra</w:t>
      </w:r>
      <w:r w:rsidR="00FE2A96" w:rsidRPr="00651B82">
        <w:rPr>
          <w:rFonts w:ascii="Times New Roman" w:hAnsi="Times New Roman" w:cs="Times New Roman"/>
          <w:sz w:val="24"/>
          <w:szCs w:val="24"/>
        </w:rPr>
        <w:t>de</w:t>
      </w:r>
      <w:r w:rsidR="00E27A28" w:rsidRPr="00651B82">
        <w:rPr>
          <w:rFonts w:ascii="Times New Roman" w:hAnsi="Times New Roman" w:cs="Times New Roman"/>
          <w:sz w:val="24"/>
          <w:szCs w:val="24"/>
        </w:rPr>
        <w:t xml:space="preserve"> curricular de inúmeros cursos de Instituições Acadêmicas</w:t>
      </w:r>
      <w:r w:rsidR="001C5C40">
        <w:rPr>
          <w:rFonts w:ascii="Times New Roman" w:hAnsi="Times New Roman" w:cs="Times New Roman"/>
          <w:sz w:val="24"/>
          <w:szCs w:val="24"/>
        </w:rPr>
        <w:t>.</w:t>
      </w:r>
    </w:p>
    <w:p w:rsidR="0065626F" w:rsidRDefault="00451062" w:rsidP="00A96CCF">
      <w:pPr>
        <w:tabs>
          <w:tab w:val="left" w:pos="11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0451E0" w:rsidRPr="00651B82">
        <w:rPr>
          <w:rFonts w:ascii="Times New Roman" w:hAnsi="Times New Roman" w:cs="Times New Roman"/>
          <w:sz w:val="24"/>
          <w:szCs w:val="24"/>
        </w:rPr>
        <w:t xml:space="preserve">s monitorias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451E0" w:rsidRPr="00651B82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0451E0" w:rsidRPr="00651B82">
        <w:rPr>
          <w:rFonts w:ascii="Times New Roman" w:hAnsi="Times New Roman" w:cs="Times New Roman"/>
          <w:sz w:val="24"/>
          <w:szCs w:val="24"/>
        </w:rPr>
        <w:t xml:space="preserve"> auxiliar os docentes a transmitir em parte os</w:t>
      </w:r>
      <w:r w:rsidR="00EB4051">
        <w:rPr>
          <w:rFonts w:ascii="Times New Roman" w:hAnsi="Times New Roman" w:cs="Times New Roman"/>
          <w:sz w:val="24"/>
          <w:szCs w:val="24"/>
        </w:rPr>
        <w:t xml:space="preserve"> </w:t>
      </w:r>
      <w:r w:rsidR="000451E0" w:rsidRPr="00651B82">
        <w:rPr>
          <w:rFonts w:ascii="Times New Roman" w:hAnsi="Times New Roman" w:cs="Times New Roman"/>
          <w:sz w:val="24"/>
          <w:szCs w:val="24"/>
        </w:rPr>
        <w:t xml:space="preserve">conhecimentos necessários e disponíveis para que os alunos que almejam buscar um maior conhecimento obtenham um resultado </w:t>
      </w:r>
      <w:r w:rsidR="000451E0" w:rsidRPr="00376F65">
        <w:rPr>
          <w:rFonts w:ascii="Times New Roman" w:hAnsi="Times New Roman" w:cs="Times New Roman"/>
          <w:sz w:val="24"/>
          <w:szCs w:val="24"/>
        </w:rPr>
        <w:t>satisfatório</w:t>
      </w:r>
      <w:r w:rsidR="00376F65">
        <w:rPr>
          <w:rFonts w:ascii="Times New Roman" w:hAnsi="Times New Roman" w:cs="Times New Roman"/>
          <w:sz w:val="24"/>
          <w:szCs w:val="24"/>
        </w:rPr>
        <w:t xml:space="preserve"> (NANNI, 2004)</w:t>
      </w:r>
      <w:r w:rsidR="000451E0" w:rsidRPr="00376F65">
        <w:rPr>
          <w:rFonts w:ascii="Times New Roman" w:hAnsi="Times New Roman" w:cs="Times New Roman"/>
          <w:sz w:val="24"/>
          <w:szCs w:val="24"/>
        </w:rPr>
        <w:t>.</w:t>
      </w:r>
      <w:r w:rsidR="00547B5A">
        <w:rPr>
          <w:rFonts w:ascii="Times New Roman" w:hAnsi="Times New Roman" w:cs="Times New Roman"/>
          <w:sz w:val="24"/>
          <w:szCs w:val="24"/>
        </w:rPr>
        <w:t xml:space="preserve"> </w:t>
      </w:r>
      <w:r w:rsidR="00287A60" w:rsidRPr="00651B82">
        <w:rPr>
          <w:rFonts w:ascii="Times New Roman" w:hAnsi="Times New Roman" w:cs="Times New Roman"/>
          <w:sz w:val="24"/>
          <w:szCs w:val="24"/>
        </w:rPr>
        <w:t>O pr</w:t>
      </w:r>
      <w:r w:rsidR="00912292" w:rsidRPr="00651B82">
        <w:rPr>
          <w:rFonts w:ascii="Times New Roman" w:hAnsi="Times New Roman" w:cs="Times New Roman"/>
          <w:sz w:val="24"/>
          <w:szCs w:val="24"/>
        </w:rPr>
        <w:t>esente trabalho</w:t>
      </w:r>
      <w:r w:rsidR="00A96CCF">
        <w:rPr>
          <w:rFonts w:ascii="Times New Roman" w:hAnsi="Times New Roman" w:cs="Times New Roman"/>
          <w:sz w:val="24"/>
          <w:szCs w:val="24"/>
        </w:rPr>
        <w:t xml:space="preserve"> </w:t>
      </w:r>
      <w:r w:rsidR="00912292" w:rsidRPr="00651B82">
        <w:rPr>
          <w:rFonts w:ascii="Times New Roman" w:hAnsi="Times New Roman" w:cs="Times New Roman"/>
          <w:sz w:val="24"/>
          <w:szCs w:val="24"/>
        </w:rPr>
        <w:t>objetivou-se em</w:t>
      </w:r>
      <w:r w:rsidR="00C5011E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69184D" w:rsidRPr="00651B82">
        <w:rPr>
          <w:rFonts w:ascii="Times New Roman" w:hAnsi="Times New Roman" w:cs="Times New Roman"/>
          <w:sz w:val="24"/>
          <w:szCs w:val="24"/>
        </w:rPr>
        <w:t>avaliar o desempenho acadêmico dos alunos</w:t>
      </w:r>
      <w:r w:rsidR="000A54CE" w:rsidRPr="00651B82">
        <w:rPr>
          <w:rFonts w:ascii="Times New Roman" w:hAnsi="Times New Roman" w:cs="Times New Roman"/>
          <w:sz w:val="24"/>
          <w:szCs w:val="24"/>
        </w:rPr>
        <w:t xml:space="preserve"> na disciplina Estatística Geral</w:t>
      </w:r>
      <w:r w:rsidR="0069184D" w:rsidRPr="00651B82">
        <w:rPr>
          <w:rFonts w:ascii="Times New Roman" w:hAnsi="Times New Roman" w:cs="Times New Roman"/>
          <w:sz w:val="24"/>
          <w:szCs w:val="24"/>
        </w:rPr>
        <w:t xml:space="preserve"> mediante a utilização das atividades de monitoria</w:t>
      </w:r>
      <w:r w:rsidR="00C76252">
        <w:rPr>
          <w:rFonts w:ascii="Times New Roman" w:hAnsi="Times New Roman" w:cs="Times New Roman"/>
          <w:sz w:val="24"/>
          <w:szCs w:val="24"/>
        </w:rPr>
        <w:t xml:space="preserve">.  </w:t>
      </w:r>
      <w:r w:rsidR="00692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F60" w:rsidRPr="00C76252" w:rsidRDefault="00753A87" w:rsidP="00BA6176">
      <w:pPr>
        <w:tabs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0E2F60" w:rsidRPr="007270B4">
        <w:rPr>
          <w:rFonts w:ascii="Times New Roman" w:hAnsi="Times New Roman" w:cs="Times New Roman"/>
          <w:b/>
          <w:sz w:val="24"/>
          <w:szCs w:val="24"/>
        </w:rPr>
        <w:t>DESCRIÇÃO METODOLOGICA</w:t>
      </w:r>
    </w:p>
    <w:p w:rsidR="00027F76" w:rsidRDefault="000E2F60" w:rsidP="00BA6176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B82">
        <w:rPr>
          <w:rFonts w:ascii="Times New Roman" w:hAnsi="Times New Roman" w:cs="Times New Roman"/>
          <w:sz w:val="24"/>
          <w:szCs w:val="24"/>
        </w:rPr>
        <w:t xml:space="preserve">As atividades de monitoria referentes </w:t>
      </w:r>
      <w:r w:rsidR="0094452F" w:rsidRPr="00651B82">
        <w:rPr>
          <w:rFonts w:ascii="Times New Roman" w:hAnsi="Times New Roman" w:cs="Times New Roman"/>
          <w:sz w:val="24"/>
          <w:szCs w:val="24"/>
        </w:rPr>
        <w:t>à</w:t>
      </w:r>
      <w:r w:rsidRPr="00651B82">
        <w:rPr>
          <w:rFonts w:ascii="Times New Roman" w:hAnsi="Times New Roman" w:cs="Times New Roman"/>
          <w:sz w:val="24"/>
          <w:szCs w:val="24"/>
        </w:rPr>
        <w:t xml:space="preserve"> disciplina </w:t>
      </w:r>
      <w:r w:rsidR="000C6EEC" w:rsidRPr="00651B82">
        <w:rPr>
          <w:rFonts w:ascii="Times New Roman" w:hAnsi="Times New Roman" w:cs="Times New Roman"/>
          <w:sz w:val="24"/>
          <w:szCs w:val="24"/>
        </w:rPr>
        <w:t xml:space="preserve">de Estatística Geral </w:t>
      </w:r>
      <w:r w:rsidRPr="00651B82">
        <w:rPr>
          <w:rFonts w:ascii="Times New Roman" w:hAnsi="Times New Roman" w:cs="Times New Roman"/>
          <w:sz w:val="24"/>
          <w:szCs w:val="24"/>
        </w:rPr>
        <w:t>realizadas no</w:t>
      </w:r>
      <w:r w:rsidR="00A336D0">
        <w:rPr>
          <w:rFonts w:ascii="Times New Roman" w:hAnsi="Times New Roman" w:cs="Times New Roman"/>
          <w:sz w:val="24"/>
          <w:szCs w:val="24"/>
        </w:rPr>
        <w:t>s</w:t>
      </w:r>
      <w:r w:rsidRPr="00651B82">
        <w:rPr>
          <w:rFonts w:ascii="Times New Roman" w:hAnsi="Times New Roman" w:cs="Times New Roman"/>
          <w:sz w:val="24"/>
          <w:szCs w:val="24"/>
        </w:rPr>
        <w:t xml:space="preserve"> período</w:t>
      </w:r>
      <w:r w:rsidR="00A336D0">
        <w:rPr>
          <w:rFonts w:ascii="Times New Roman" w:hAnsi="Times New Roman" w:cs="Times New Roman"/>
          <w:sz w:val="24"/>
          <w:szCs w:val="24"/>
        </w:rPr>
        <w:t>s</w:t>
      </w:r>
      <w:r w:rsidRPr="00651B82">
        <w:rPr>
          <w:rFonts w:ascii="Times New Roman" w:hAnsi="Times New Roman" w:cs="Times New Roman"/>
          <w:sz w:val="24"/>
          <w:szCs w:val="24"/>
        </w:rPr>
        <w:t xml:space="preserve"> letivo</w:t>
      </w:r>
      <w:r w:rsidR="00A336D0">
        <w:rPr>
          <w:rFonts w:ascii="Times New Roman" w:hAnsi="Times New Roman" w:cs="Times New Roman"/>
          <w:sz w:val="24"/>
          <w:szCs w:val="24"/>
        </w:rPr>
        <w:t>s</w:t>
      </w:r>
      <w:r w:rsidRPr="00651B82">
        <w:rPr>
          <w:rFonts w:ascii="Times New Roman" w:hAnsi="Times New Roman" w:cs="Times New Roman"/>
          <w:sz w:val="24"/>
          <w:szCs w:val="24"/>
        </w:rPr>
        <w:t xml:space="preserve"> de 2012.2</w:t>
      </w:r>
      <w:r w:rsidR="00A336D0">
        <w:rPr>
          <w:rFonts w:ascii="Times New Roman" w:hAnsi="Times New Roman" w:cs="Times New Roman"/>
          <w:sz w:val="24"/>
          <w:szCs w:val="24"/>
        </w:rPr>
        <w:t xml:space="preserve"> e 2013.1</w:t>
      </w:r>
      <w:r w:rsidRPr="00651B82">
        <w:rPr>
          <w:rFonts w:ascii="Times New Roman" w:hAnsi="Times New Roman" w:cs="Times New Roman"/>
          <w:sz w:val="24"/>
          <w:szCs w:val="24"/>
        </w:rPr>
        <w:t xml:space="preserve"> foram desenvolvidas nas salas de aula do</w:t>
      </w:r>
      <w:r w:rsidR="000C6EEC" w:rsidRPr="00651B82">
        <w:rPr>
          <w:rFonts w:ascii="Times New Roman" w:hAnsi="Times New Roman" w:cs="Times New Roman"/>
          <w:sz w:val="24"/>
          <w:szCs w:val="24"/>
        </w:rPr>
        <w:t xml:space="preserve"> Departamento de Ciências Fundamentais e Sociais</w:t>
      </w:r>
      <w:r w:rsidRPr="00651B82">
        <w:rPr>
          <w:rFonts w:ascii="Times New Roman" w:hAnsi="Times New Roman" w:cs="Times New Roman"/>
          <w:sz w:val="24"/>
          <w:szCs w:val="24"/>
        </w:rPr>
        <w:t xml:space="preserve"> do Centro de Ciências Agrárias da Unive</w:t>
      </w:r>
      <w:r w:rsidR="001C4868">
        <w:rPr>
          <w:rFonts w:ascii="Times New Roman" w:hAnsi="Times New Roman" w:cs="Times New Roman"/>
          <w:sz w:val="24"/>
          <w:szCs w:val="24"/>
        </w:rPr>
        <w:t>rsidade Federal da Paraíba – DCFS</w:t>
      </w:r>
      <w:r w:rsidRPr="00651B82">
        <w:rPr>
          <w:rFonts w:ascii="Times New Roman" w:hAnsi="Times New Roman" w:cs="Times New Roman"/>
          <w:sz w:val="24"/>
          <w:szCs w:val="24"/>
        </w:rPr>
        <w:t>/CCA/UFPB, Campus II – Areia – PB.</w:t>
      </w:r>
      <w:r w:rsidR="00027F76">
        <w:rPr>
          <w:rFonts w:ascii="Times New Roman" w:hAnsi="Times New Roman" w:cs="Times New Roman"/>
          <w:sz w:val="24"/>
          <w:szCs w:val="24"/>
        </w:rPr>
        <w:t xml:space="preserve"> </w:t>
      </w:r>
      <w:r w:rsidR="00B02BCB" w:rsidRPr="00651B82">
        <w:rPr>
          <w:rFonts w:ascii="Times New Roman" w:hAnsi="Times New Roman" w:cs="Times New Roman"/>
          <w:sz w:val="24"/>
          <w:szCs w:val="24"/>
        </w:rPr>
        <w:t>O desenvolvimento das atividades procedeu-se em 4 horas semana</w:t>
      </w:r>
      <w:r w:rsidR="000324A4">
        <w:rPr>
          <w:rFonts w:ascii="Times New Roman" w:hAnsi="Times New Roman" w:cs="Times New Roman"/>
          <w:sz w:val="24"/>
          <w:szCs w:val="24"/>
        </w:rPr>
        <w:t>i</w:t>
      </w:r>
      <w:r w:rsidR="00B02BCB" w:rsidRPr="00651B82">
        <w:rPr>
          <w:rFonts w:ascii="Times New Roman" w:hAnsi="Times New Roman" w:cs="Times New Roman"/>
          <w:sz w:val="24"/>
          <w:szCs w:val="24"/>
        </w:rPr>
        <w:t>s</w:t>
      </w:r>
      <w:r w:rsidR="002D5E5F" w:rsidRPr="00651B82">
        <w:rPr>
          <w:rFonts w:ascii="Times New Roman" w:hAnsi="Times New Roman" w:cs="Times New Roman"/>
          <w:sz w:val="24"/>
          <w:szCs w:val="24"/>
        </w:rPr>
        <w:t>,</w:t>
      </w:r>
      <w:r w:rsidR="00B02BCB" w:rsidRPr="00651B82">
        <w:rPr>
          <w:rFonts w:ascii="Times New Roman" w:hAnsi="Times New Roman" w:cs="Times New Roman"/>
          <w:sz w:val="24"/>
          <w:szCs w:val="24"/>
        </w:rPr>
        <w:t xml:space="preserve"> estas divididas em duas horas por dia</w:t>
      </w:r>
      <w:r w:rsidR="00742897">
        <w:rPr>
          <w:rFonts w:ascii="Times New Roman" w:hAnsi="Times New Roman" w:cs="Times New Roman"/>
          <w:sz w:val="24"/>
          <w:szCs w:val="24"/>
        </w:rPr>
        <w:t>, que</w:t>
      </w:r>
      <w:r w:rsidR="00B83F94" w:rsidRPr="00651B82">
        <w:rPr>
          <w:rFonts w:ascii="Times New Roman" w:hAnsi="Times New Roman" w:cs="Times New Roman"/>
          <w:sz w:val="24"/>
          <w:szCs w:val="24"/>
        </w:rPr>
        <w:t xml:space="preserve"> foram</w:t>
      </w:r>
      <w:r w:rsidR="00742897">
        <w:rPr>
          <w:rFonts w:ascii="Times New Roman" w:hAnsi="Times New Roman" w:cs="Times New Roman"/>
          <w:sz w:val="24"/>
          <w:szCs w:val="24"/>
        </w:rPr>
        <w:t xml:space="preserve"> previamente estabelecidas</w:t>
      </w:r>
      <w:r w:rsidR="00B02BCB" w:rsidRPr="00651B82">
        <w:rPr>
          <w:rFonts w:ascii="Times New Roman" w:hAnsi="Times New Roman" w:cs="Times New Roman"/>
          <w:sz w:val="24"/>
          <w:szCs w:val="24"/>
        </w:rPr>
        <w:t xml:space="preserve"> pelo monitor em consenso</w:t>
      </w:r>
      <w:r w:rsidR="007B5B2E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B02BCB" w:rsidRPr="00651B82">
        <w:rPr>
          <w:rFonts w:ascii="Times New Roman" w:hAnsi="Times New Roman" w:cs="Times New Roman"/>
          <w:sz w:val="24"/>
          <w:szCs w:val="24"/>
        </w:rPr>
        <w:t>com</w:t>
      </w:r>
      <w:r w:rsidR="002D5E5F" w:rsidRPr="00651B82">
        <w:rPr>
          <w:rFonts w:ascii="Times New Roman" w:hAnsi="Times New Roman" w:cs="Times New Roman"/>
          <w:sz w:val="24"/>
          <w:szCs w:val="24"/>
        </w:rPr>
        <w:t xml:space="preserve"> o professor</w:t>
      </w:r>
      <w:r w:rsidR="00B02BCB" w:rsidRPr="00651B82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2D5E5F" w:rsidRPr="00651B82">
        <w:rPr>
          <w:rFonts w:ascii="Times New Roman" w:hAnsi="Times New Roman" w:cs="Times New Roman"/>
          <w:sz w:val="24"/>
          <w:szCs w:val="24"/>
        </w:rPr>
        <w:t>.</w:t>
      </w:r>
      <w:r w:rsidR="00B83F94" w:rsidRPr="00651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5D0" w:rsidRPr="00027F76" w:rsidRDefault="00B83F94" w:rsidP="00BA6176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B82">
        <w:rPr>
          <w:rFonts w:ascii="Times New Roman" w:hAnsi="Times New Roman" w:cs="Times New Roman"/>
          <w:sz w:val="24"/>
          <w:szCs w:val="24"/>
        </w:rPr>
        <w:t>Ressaltando-se que as monitorias foram compostas de dois momento</w:t>
      </w:r>
      <w:r w:rsidR="00CE754E">
        <w:rPr>
          <w:rFonts w:ascii="Times New Roman" w:hAnsi="Times New Roman" w:cs="Times New Roman"/>
          <w:sz w:val="24"/>
          <w:szCs w:val="24"/>
        </w:rPr>
        <w:t>s</w:t>
      </w:r>
      <w:r w:rsidRPr="00651B82">
        <w:rPr>
          <w:rFonts w:ascii="Times New Roman" w:hAnsi="Times New Roman" w:cs="Times New Roman"/>
          <w:sz w:val="24"/>
          <w:szCs w:val="24"/>
        </w:rPr>
        <w:t xml:space="preserve"> distintos, tendo em vista</w:t>
      </w:r>
      <w:r w:rsidR="00F636C6" w:rsidRPr="00651B82">
        <w:rPr>
          <w:rFonts w:ascii="Times New Roman" w:hAnsi="Times New Roman" w:cs="Times New Roman"/>
          <w:sz w:val="24"/>
          <w:szCs w:val="24"/>
        </w:rPr>
        <w:t xml:space="preserve"> que</w:t>
      </w:r>
      <w:r w:rsidR="003072AB">
        <w:rPr>
          <w:rFonts w:ascii="Times New Roman" w:hAnsi="Times New Roman" w:cs="Times New Roman"/>
          <w:sz w:val="24"/>
          <w:szCs w:val="24"/>
        </w:rPr>
        <w:t xml:space="preserve"> os</w:t>
      </w:r>
      <w:r w:rsidR="00F636C6" w:rsidRPr="00651B82">
        <w:rPr>
          <w:rFonts w:ascii="Times New Roman" w:hAnsi="Times New Roman" w:cs="Times New Roman"/>
          <w:sz w:val="24"/>
          <w:szCs w:val="24"/>
        </w:rPr>
        <w:t xml:space="preserve"> dois primeiros estág</w:t>
      </w:r>
      <w:r w:rsidR="00742897">
        <w:rPr>
          <w:rFonts w:ascii="Times New Roman" w:hAnsi="Times New Roman" w:cs="Times New Roman"/>
          <w:sz w:val="24"/>
          <w:szCs w:val="24"/>
        </w:rPr>
        <w:t xml:space="preserve">ios tiveram suas notas geradas </w:t>
      </w:r>
      <w:r w:rsidR="00F636C6" w:rsidRPr="00651B82">
        <w:rPr>
          <w:rFonts w:ascii="Times New Roman" w:hAnsi="Times New Roman" w:cs="Times New Roman"/>
          <w:sz w:val="24"/>
          <w:szCs w:val="24"/>
        </w:rPr>
        <w:t xml:space="preserve">a </w:t>
      </w:r>
      <w:r w:rsidR="00BE2AAA">
        <w:rPr>
          <w:rFonts w:ascii="Times New Roman" w:hAnsi="Times New Roman" w:cs="Times New Roman"/>
          <w:sz w:val="24"/>
          <w:szCs w:val="24"/>
        </w:rPr>
        <w:t>partir de testes teóricos, onde</w:t>
      </w:r>
      <w:r w:rsidR="00BD207C">
        <w:rPr>
          <w:rFonts w:ascii="Times New Roman" w:hAnsi="Times New Roman" w:cs="Times New Roman"/>
          <w:sz w:val="24"/>
          <w:szCs w:val="24"/>
        </w:rPr>
        <w:t xml:space="preserve"> </w:t>
      </w:r>
      <w:r w:rsidR="000324A4">
        <w:rPr>
          <w:rFonts w:ascii="Times New Roman" w:hAnsi="Times New Roman" w:cs="Times New Roman"/>
          <w:sz w:val="24"/>
          <w:szCs w:val="24"/>
        </w:rPr>
        <w:t>houve</w:t>
      </w:r>
      <w:r w:rsidR="00027F76">
        <w:rPr>
          <w:rFonts w:ascii="Times New Roman" w:hAnsi="Times New Roman" w:cs="Times New Roman"/>
          <w:sz w:val="24"/>
          <w:szCs w:val="24"/>
        </w:rPr>
        <w:t xml:space="preserve"> a </w:t>
      </w:r>
      <w:r w:rsidR="00492F44" w:rsidRPr="00651B82">
        <w:rPr>
          <w:rFonts w:ascii="Times New Roman" w:hAnsi="Times New Roman" w:cs="Times New Roman"/>
          <w:sz w:val="24"/>
          <w:szCs w:val="24"/>
        </w:rPr>
        <w:t xml:space="preserve">resoluções </w:t>
      </w:r>
      <w:r w:rsidR="00F84141" w:rsidRPr="00651B82">
        <w:rPr>
          <w:rFonts w:ascii="Times New Roman" w:hAnsi="Times New Roman" w:cs="Times New Roman"/>
          <w:sz w:val="24"/>
          <w:szCs w:val="24"/>
        </w:rPr>
        <w:t>de exercícios</w:t>
      </w:r>
      <w:r w:rsidR="00492F44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F84141" w:rsidRPr="00651B82">
        <w:rPr>
          <w:rFonts w:ascii="Times New Roman" w:hAnsi="Times New Roman" w:cs="Times New Roman"/>
          <w:sz w:val="24"/>
          <w:szCs w:val="24"/>
        </w:rPr>
        <w:t>propostos pelo professor orientador</w:t>
      </w:r>
      <w:r w:rsidR="00027F76">
        <w:rPr>
          <w:rFonts w:ascii="Times New Roman" w:hAnsi="Times New Roman" w:cs="Times New Roman"/>
          <w:sz w:val="24"/>
          <w:szCs w:val="24"/>
        </w:rPr>
        <w:t>,</w:t>
      </w:r>
      <w:r w:rsidR="00F84141" w:rsidRPr="00651B82">
        <w:rPr>
          <w:rFonts w:ascii="Times New Roman" w:hAnsi="Times New Roman" w:cs="Times New Roman"/>
          <w:sz w:val="24"/>
          <w:szCs w:val="24"/>
        </w:rPr>
        <w:t xml:space="preserve"> estes quais </w:t>
      </w:r>
      <w:r w:rsidR="00492F44" w:rsidRPr="00651B82">
        <w:rPr>
          <w:rFonts w:ascii="Times New Roman" w:hAnsi="Times New Roman" w:cs="Times New Roman"/>
          <w:sz w:val="24"/>
          <w:szCs w:val="24"/>
        </w:rPr>
        <w:t>abrangiam</w:t>
      </w:r>
      <w:r w:rsidR="00F84141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DC3162" w:rsidRPr="00651B82">
        <w:rPr>
          <w:rFonts w:ascii="Times New Roman" w:hAnsi="Times New Roman" w:cs="Times New Roman"/>
          <w:sz w:val="24"/>
          <w:szCs w:val="24"/>
        </w:rPr>
        <w:t>os assuntos</w:t>
      </w:r>
      <w:r w:rsidR="00492F44" w:rsidRPr="00651B82">
        <w:rPr>
          <w:rFonts w:ascii="Times New Roman" w:hAnsi="Times New Roman" w:cs="Times New Roman"/>
          <w:sz w:val="24"/>
          <w:szCs w:val="24"/>
        </w:rPr>
        <w:t xml:space="preserve"> em destaque na disciplina,</w:t>
      </w:r>
      <w:r w:rsidR="00F84141" w:rsidRPr="00651B82">
        <w:rPr>
          <w:rFonts w:ascii="Times New Roman" w:hAnsi="Times New Roman" w:cs="Times New Roman"/>
          <w:sz w:val="24"/>
          <w:szCs w:val="24"/>
        </w:rPr>
        <w:t xml:space="preserve"> promovendo-se as monitorias</w:t>
      </w:r>
      <w:r w:rsidR="00492F44" w:rsidRPr="00651B82">
        <w:rPr>
          <w:rFonts w:ascii="Times New Roman" w:hAnsi="Times New Roman" w:cs="Times New Roman"/>
          <w:sz w:val="24"/>
          <w:szCs w:val="24"/>
        </w:rPr>
        <w:t xml:space="preserve"> de forma dinâmica com a interação </w:t>
      </w:r>
      <w:r w:rsidR="00B628CF" w:rsidRPr="00651B82">
        <w:rPr>
          <w:rFonts w:ascii="Times New Roman" w:hAnsi="Times New Roman" w:cs="Times New Roman"/>
          <w:sz w:val="24"/>
          <w:szCs w:val="24"/>
        </w:rPr>
        <w:t>mutua entre alunos e monitor. S</w:t>
      </w:r>
      <w:r w:rsidR="00F84141" w:rsidRPr="00651B82">
        <w:rPr>
          <w:rFonts w:ascii="Times New Roman" w:hAnsi="Times New Roman" w:cs="Times New Roman"/>
          <w:sz w:val="24"/>
          <w:szCs w:val="24"/>
        </w:rPr>
        <w:t xml:space="preserve">endo-se utilizando material de didático de naturezas distintas tais como apostilas </w:t>
      </w:r>
      <w:r w:rsidR="00CE754E" w:rsidRPr="00651B82">
        <w:rPr>
          <w:rFonts w:ascii="Times New Roman" w:hAnsi="Times New Roman" w:cs="Times New Roman"/>
          <w:sz w:val="24"/>
          <w:szCs w:val="24"/>
        </w:rPr>
        <w:t>embasadas no conteúdo da disciplina e disponibilizadas aos alunos pelo professor da mesma</w:t>
      </w:r>
      <w:r w:rsidR="00BD207C">
        <w:rPr>
          <w:rFonts w:ascii="Times New Roman" w:hAnsi="Times New Roman" w:cs="Times New Roman"/>
          <w:sz w:val="24"/>
          <w:szCs w:val="24"/>
        </w:rPr>
        <w:t>,</w:t>
      </w:r>
      <w:r w:rsidR="00F84141" w:rsidRPr="00651B82">
        <w:rPr>
          <w:rFonts w:ascii="Times New Roman" w:hAnsi="Times New Roman" w:cs="Times New Roman"/>
          <w:sz w:val="24"/>
          <w:szCs w:val="24"/>
        </w:rPr>
        <w:t xml:space="preserve"> houve-se </w:t>
      </w:r>
      <w:r w:rsidR="00B73920" w:rsidRPr="00651B82">
        <w:rPr>
          <w:rFonts w:ascii="Times New Roman" w:hAnsi="Times New Roman" w:cs="Times New Roman"/>
          <w:sz w:val="24"/>
          <w:szCs w:val="24"/>
        </w:rPr>
        <w:t xml:space="preserve">a </w:t>
      </w:r>
      <w:r w:rsidR="00F84141" w:rsidRPr="00651B82">
        <w:rPr>
          <w:rFonts w:ascii="Times New Roman" w:hAnsi="Times New Roman" w:cs="Times New Roman"/>
          <w:sz w:val="24"/>
          <w:szCs w:val="24"/>
        </w:rPr>
        <w:t xml:space="preserve">utilização de livros </w:t>
      </w:r>
      <w:r w:rsidR="00B73920" w:rsidRPr="00651B82">
        <w:rPr>
          <w:rFonts w:ascii="Times New Roman" w:hAnsi="Times New Roman" w:cs="Times New Roman"/>
          <w:sz w:val="24"/>
          <w:szCs w:val="24"/>
        </w:rPr>
        <w:t>com a finalidade do reconhecimento de conceitos básicos</w:t>
      </w:r>
      <w:r w:rsidRPr="00651B82">
        <w:rPr>
          <w:rFonts w:ascii="Times New Roman" w:hAnsi="Times New Roman" w:cs="Times New Roman"/>
          <w:sz w:val="24"/>
          <w:szCs w:val="24"/>
        </w:rPr>
        <w:t xml:space="preserve"> dos temas abordados</w:t>
      </w:r>
      <w:r w:rsidR="00B73920" w:rsidRPr="00651B82">
        <w:rPr>
          <w:rFonts w:ascii="Times New Roman" w:hAnsi="Times New Roman" w:cs="Times New Roman"/>
          <w:sz w:val="24"/>
          <w:szCs w:val="24"/>
        </w:rPr>
        <w:t>, tendo em vist</w:t>
      </w:r>
      <w:r w:rsidR="00CE754E">
        <w:rPr>
          <w:rFonts w:ascii="Times New Roman" w:hAnsi="Times New Roman" w:cs="Times New Roman"/>
          <w:sz w:val="24"/>
          <w:szCs w:val="24"/>
        </w:rPr>
        <w:t>a não somente o conhecimento prá</w:t>
      </w:r>
      <w:r w:rsidR="00B73920" w:rsidRPr="00651B82">
        <w:rPr>
          <w:rFonts w:ascii="Times New Roman" w:hAnsi="Times New Roman" w:cs="Times New Roman"/>
          <w:sz w:val="24"/>
          <w:szCs w:val="24"/>
        </w:rPr>
        <w:t>tico</w:t>
      </w:r>
      <w:r w:rsidR="00CE754E">
        <w:rPr>
          <w:rFonts w:ascii="Times New Roman" w:hAnsi="Times New Roman" w:cs="Times New Roman"/>
          <w:sz w:val="24"/>
          <w:szCs w:val="24"/>
        </w:rPr>
        <w:t>, ma</w:t>
      </w:r>
      <w:r w:rsidR="00B73920" w:rsidRPr="00651B82">
        <w:rPr>
          <w:rFonts w:ascii="Times New Roman" w:hAnsi="Times New Roman" w:cs="Times New Roman"/>
          <w:sz w:val="24"/>
          <w:szCs w:val="24"/>
        </w:rPr>
        <w:t>s também um aprofundamento em nível teórico.</w:t>
      </w:r>
      <w:r w:rsidR="00BD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2F" w:rsidRDefault="00B628CF" w:rsidP="00BA6176">
      <w:pPr>
        <w:spacing w:line="360" w:lineRule="auto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1B82">
        <w:rPr>
          <w:rFonts w:ascii="Times New Roman" w:hAnsi="Times New Roman" w:cs="Times New Roman"/>
          <w:sz w:val="24"/>
          <w:szCs w:val="24"/>
        </w:rPr>
        <w:t xml:space="preserve">No segundo momento da monitoria referente </w:t>
      </w:r>
      <w:r w:rsidR="00CE754E" w:rsidRPr="00651B82">
        <w:rPr>
          <w:rFonts w:ascii="Times New Roman" w:hAnsi="Times New Roman" w:cs="Times New Roman"/>
          <w:sz w:val="24"/>
          <w:szCs w:val="24"/>
        </w:rPr>
        <w:t>às</w:t>
      </w:r>
      <w:r w:rsidRPr="00651B82">
        <w:rPr>
          <w:rFonts w:ascii="Times New Roman" w:hAnsi="Times New Roman" w:cs="Times New Roman"/>
          <w:sz w:val="24"/>
          <w:szCs w:val="24"/>
        </w:rPr>
        <w:t xml:space="preserve"> atividades proposta pela disciplina ao terceiro estagio</w:t>
      </w:r>
      <w:r w:rsidR="00BD207C">
        <w:rPr>
          <w:rFonts w:ascii="Times New Roman" w:hAnsi="Times New Roman" w:cs="Times New Roman"/>
          <w:sz w:val="24"/>
          <w:szCs w:val="24"/>
        </w:rPr>
        <w:t xml:space="preserve">, </w:t>
      </w:r>
      <w:r w:rsidR="00BD207C" w:rsidRPr="00547B5A">
        <w:rPr>
          <w:rFonts w:ascii="Times New Roman" w:hAnsi="Times New Roman" w:cs="Times New Roman"/>
          <w:sz w:val="24"/>
          <w:szCs w:val="24"/>
        </w:rPr>
        <w:t>os alunos tiveram a oportunidade de desenvolverem um trabalho pratico, tornando-se possível expor em toda sua plenitude os conhecimento</w:t>
      </w:r>
      <w:r w:rsidR="00547B5A">
        <w:rPr>
          <w:rFonts w:ascii="Times New Roman" w:hAnsi="Times New Roman" w:cs="Times New Roman"/>
          <w:sz w:val="24"/>
          <w:szCs w:val="24"/>
        </w:rPr>
        <w:t>s</w:t>
      </w:r>
      <w:r w:rsidR="00BD207C" w:rsidRPr="00547B5A">
        <w:rPr>
          <w:rFonts w:ascii="Times New Roman" w:hAnsi="Times New Roman" w:cs="Times New Roman"/>
          <w:sz w:val="24"/>
          <w:szCs w:val="24"/>
        </w:rPr>
        <w:t xml:space="preserve"> adquir</w:t>
      </w:r>
      <w:r w:rsidR="00A94714" w:rsidRPr="00547B5A">
        <w:rPr>
          <w:rFonts w:ascii="Times New Roman" w:hAnsi="Times New Roman" w:cs="Times New Roman"/>
          <w:sz w:val="24"/>
          <w:szCs w:val="24"/>
        </w:rPr>
        <w:t xml:space="preserve">idos no decorrer da disciplina, sendo o mesmo desenvolvido em grupo onde os alunos envolvidos tiveram a oportunidade de aplicaram os conhecimentos com a finalidade de desenvolverem um trabalho cientifico em forma de artigo que posteriormente que veio a ser defendido em um mini congresso na mesma Instituição. </w:t>
      </w:r>
    </w:p>
    <w:p w:rsidR="00D663EC" w:rsidRPr="003427AC" w:rsidRDefault="003427AC" w:rsidP="00BA6176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753A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3A87">
        <w:rPr>
          <w:rFonts w:ascii="Times New Roman" w:hAnsi="Times New Roman" w:cs="Times New Roman"/>
          <w:sz w:val="24"/>
          <w:szCs w:val="24"/>
        </w:rPr>
        <w:t xml:space="preserve"> </w:t>
      </w:r>
      <w:r w:rsidR="00DB096E" w:rsidRPr="003427AC">
        <w:rPr>
          <w:rFonts w:ascii="Times New Roman" w:hAnsi="Times New Roman" w:cs="Times New Roman"/>
          <w:b/>
          <w:sz w:val="24"/>
          <w:szCs w:val="24"/>
        </w:rPr>
        <w:t>RESULTADOS</w:t>
      </w:r>
      <w:proofErr w:type="gramStart"/>
      <w:r w:rsidR="009C550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C550C">
        <w:rPr>
          <w:rFonts w:ascii="Times New Roman" w:hAnsi="Times New Roman" w:cs="Times New Roman"/>
          <w:b/>
          <w:sz w:val="24"/>
          <w:szCs w:val="24"/>
        </w:rPr>
        <w:t>E DISCUSSÃO</w:t>
      </w:r>
    </w:p>
    <w:p w:rsidR="00D60E5E" w:rsidRDefault="00D663EC" w:rsidP="00BA6176">
      <w:pPr>
        <w:tabs>
          <w:tab w:val="left" w:pos="567"/>
          <w:tab w:val="left" w:pos="709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B82">
        <w:rPr>
          <w:rFonts w:ascii="Times New Roman" w:hAnsi="Times New Roman" w:cs="Times New Roman"/>
          <w:sz w:val="24"/>
          <w:szCs w:val="24"/>
        </w:rPr>
        <w:t xml:space="preserve">Fazendo uma análise dos dados obtidos pelo registro de </w:t>
      </w:r>
      <w:r w:rsidR="00A4354D" w:rsidRPr="00651B82">
        <w:rPr>
          <w:rFonts w:ascii="Times New Roman" w:hAnsi="Times New Roman" w:cs="Times New Roman"/>
          <w:sz w:val="24"/>
          <w:szCs w:val="24"/>
        </w:rPr>
        <w:t>frequência</w:t>
      </w:r>
      <w:r w:rsidRPr="00651B82">
        <w:rPr>
          <w:rFonts w:ascii="Times New Roman" w:hAnsi="Times New Roman" w:cs="Times New Roman"/>
          <w:sz w:val="24"/>
          <w:szCs w:val="24"/>
        </w:rPr>
        <w:t xml:space="preserve"> dos al</w:t>
      </w:r>
      <w:r w:rsidR="00A4354D" w:rsidRPr="00651B82">
        <w:rPr>
          <w:rFonts w:ascii="Times New Roman" w:hAnsi="Times New Roman" w:cs="Times New Roman"/>
          <w:sz w:val="24"/>
          <w:szCs w:val="24"/>
        </w:rPr>
        <w:t xml:space="preserve">unos de Estatística </w:t>
      </w:r>
      <w:r w:rsidR="009C550C">
        <w:rPr>
          <w:rFonts w:ascii="Times New Roman" w:hAnsi="Times New Roman" w:cs="Times New Roman"/>
          <w:sz w:val="24"/>
          <w:szCs w:val="24"/>
        </w:rPr>
        <w:t>Aplicada à</w:t>
      </w:r>
      <w:r w:rsidR="0000782C">
        <w:rPr>
          <w:rFonts w:ascii="Times New Roman" w:hAnsi="Times New Roman" w:cs="Times New Roman"/>
          <w:sz w:val="24"/>
          <w:szCs w:val="24"/>
        </w:rPr>
        <w:t xml:space="preserve"> Medicina V</w:t>
      </w:r>
      <w:r w:rsidR="00A4354D" w:rsidRPr="00651B82">
        <w:rPr>
          <w:rFonts w:ascii="Times New Roman" w:hAnsi="Times New Roman" w:cs="Times New Roman"/>
          <w:sz w:val="24"/>
          <w:szCs w:val="24"/>
        </w:rPr>
        <w:t xml:space="preserve">eterinária </w:t>
      </w:r>
      <w:r w:rsidR="00FB557F" w:rsidRPr="00651B82">
        <w:rPr>
          <w:rFonts w:ascii="Times New Roman" w:hAnsi="Times New Roman" w:cs="Times New Roman"/>
          <w:sz w:val="24"/>
          <w:szCs w:val="24"/>
        </w:rPr>
        <w:t xml:space="preserve">que frequentaram </w:t>
      </w:r>
      <w:r w:rsidR="00DB1F60">
        <w:rPr>
          <w:rFonts w:ascii="Times New Roman" w:hAnsi="Times New Roman" w:cs="Times New Roman"/>
          <w:sz w:val="24"/>
          <w:szCs w:val="24"/>
        </w:rPr>
        <w:t>a</w:t>
      </w:r>
      <w:r w:rsidRPr="00651B82">
        <w:rPr>
          <w:rFonts w:ascii="Times New Roman" w:hAnsi="Times New Roman" w:cs="Times New Roman"/>
          <w:sz w:val="24"/>
          <w:szCs w:val="24"/>
        </w:rPr>
        <w:t>s ativ</w:t>
      </w:r>
      <w:r w:rsidR="00D10D41">
        <w:rPr>
          <w:rFonts w:ascii="Times New Roman" w:hAnsi="Times New Roman" w:cs="Times New Roman"/>
          <w:sz w:val="24"/>
          <w:szCs w:val="24"/>
        </w:rPr>
        <w:t xml:space="preserve">idades de monitoria durante </w:t>
      </w:r>
      <w:r w:rsidRPr="00651B82">
        <w:rPr>
          <w:rFonts w:ascii="Times New Roman" w:hAnsi="Times New Roman" w:cs="Times New Roman"/>
          <w:sz w:val="24"/>
          <w:szCs w:val="24"/>
        </w:rPr>
        <w:t>o</w:t>
      </w:r>
      <w:r w:rsidR="00D10D41">
        <w:rPr>
          <w:rFonts w:ascii="Times New Roman" w:hAnsi="Times New Roman" w:cs="Times New Roman"/>
          <w:sz w:val="24"/>
          <w:szCs w:val="24"/>
        </w:rPr>
        <w:t>s</w:t>
      </w:r>
      <w:r w:rsidRPr="00651B82">
        <w:rPr>
          <w:rFonts w:ascii="Times New Roman" w:hAnsi="Times New Roman" w:cs="Times New Roman"/>
          <w:sz w:val="24"/>
          <w:szCs w:val="24"/>
        </w:rPr>
        <w:t xml:space="preserve"> perí</w:t>
      </w:r>
      <w:r w:rsidR="00A4354D" w:rsidRPr="00651B82">
        <w:rPr>
          <w:rFonts w:ascii="Times New Roman" w:hAnsi="Times New Roman" w:cs="Times New Roman"/>
          <w:sz w:val="24"/>
          <w:szCs w:val="24"/>
        </w:rPr>
        <w:t>odo</w:t>
      </w:r>
      <w:r w:rsidR="00D10D41">
        <w:rPr>
          <w:rFonts w:ascii="Times New Roman" w:hAnsi="Times New Roman" w:cs="Times New Roman"/>
          <w:sz w:val="24"/>
          <w:szCs w:val="24"/>
        </w:rPr>
        <w:t>s</w:t>
      </w:r>
      <w:r w:rsidR="00A4354D" w:rsidRPr="00651B82">
        <w:rPr>
          <w:rFonts w:ascii="Times New Roman" w:hAnsi="Times New Roman" w:cs="Times New Roman"/>
          <w:sz w:val="24"/>
          <w:szCs w:val="24"/>
        </w:rPr>
        <w:t xml:space="preserve"> letivo</w:t>
      </w:r>
      <w:r w:rsidR="00D10D41">
        <w:rPr>
          <w:rFonts w:ascii="Times New Roman" w:hAnsi="Times New Roman" w:cs="Times New Roman"/>
          <w:sz w:val="24"/>
          <w:szCs w:val="24"/>
        </w:rPr>
        <w:t>s de</w:t>
      </w:r>
      <w:r w:rsidR="00A4354D" w:rsidRPr="00651B82">
        <w:rPr>
          <w:rFonts w:ascii="Times New Roman" w:hAnsi="Times New Roman" w:cs="Times New Roman"/>
          <w:sz w:val="24"/>
          <w:szCs w:val="24"/>
        </w:rPr>
        <w:t xml:space="preserve"> 2012.2</w:t>
      </w:r>
      <w:r w:rsidR="00D10D41">
        <w:rPr>
          <w:rFonts w:ascii="Times New Roman" w:hAnsi="Times New Roman" w:cs="Times New Roman"/>
          <w:sz w:val="24"/>
          <w:szCs w:val="24"/>
        </w:rPr>
        <w:t xml:space="preserve"> e 2013.1</w:t>
      </w:r>
      <w:r w:rsidR="00880F94">
        <w:rPr>
          <w:rFonts w:ascii="Times New Roman" w:hAnsi="Times New Roman" w:cs="Times New Roman"/>
          <w:sz w:val="24"/>
          <w:szCs w:val="24"/>
        </w:rPr>
        <w:t xml:space="preserve">, </w:t>
      </w:r>
      <w:r w:rsidR="000341F3" w:rsidRPr="00651B82">
        <w:rPr>
          <w:rFonts w:ascii="Times New Roman" w:hAnsi="Times New Roman" w:cs="Times New Roman"/>
          <w:sz w:val="24"/>
          <w:szCs w:val="24"/>
        </w:rPr>
        <w:t>obteve-se</w:t>
      </w:r>
      <w:r w:rsidRPr="00651B82">
        <w:rPr>
          <w:rFonts w:ascii="Times New Roman" w:hAnsi="Times New Roman" w:cs="Times New Roman"/>
          <w:sz w:val="24"/>
          <w:szCs w:val="24"/>
        </w:rPr>
        <w:t xml:space="preserve"> uma estimativa </w:t>
      </w:r>
      <w:r w:rsidR="0000782C">
        <w:rPr>
          <w:rFonts w:ascii="Times New Roman" w:hAnsi="Times New Roman" w:cs="Times New Roman"/>
          <w:sz w:val="24"/>
          <w:szCs w:val="24"/>
        </w:rPr>
        <w:t>da demanda por estas atividades</w:t>
      </w:r>
      <w:r w:rsidR="00C506D9">
        <w:rPr>
          <w:rFonts w:ascii="Times New Roman" w:hAnsi="Times New Roman" w:cs="Times New Roman"/>
          <w:sz w:val="24"/>
          <w:szCs w:val="24"/>
        </w:rPr>
        <w:t xml:space="preserve"> em cada um dos períodos</w:t>
      </w:r>
      <w:r w:rsidR="0000782C">
        <w:rPr>
          <w:rFonts w:ascii="Times New Roman" w:hAnsi="Times New Roman" w:cs="Times New Roman"/>
          <w:sz w:val="24"/>
          <w:szCs w:val="24"/>
        </w:rPr>
        <w:t xml:space="preserve">, </w:t>
      </w:r>
      <w:r w:rsidR="00DB1F60">
        <w:rPr>
          <w:rFonts w:ascii="Times New Roman" w:hAnsi="Times New Roman" w:cs="Times New Roman"/>
          <w:sz w:val="24"/>
          <w:szCs w:val="24"/>
        </w:rPr>
        <w:t>apresentadas</w:t>
      </w:r>
      <w:r w:rsidR="00880F94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DB1F60">
        <w:rPr>
          <w:rFonts w:ascii="Times New Roman" w:hAnsi="Times New Roman" w:cs="Times New Roman"/>
          <w:sz w:val="24"/>
          <w:szCs w:val="24"/>
        </w:rPr>
        <w:t xml:space="preserve"> na</w:t>
      </w:r>
      <w:r w:rsidR="00880F94">
        <w:rPr>
          <w:rFonts w:ascii="Times New Roman" w:hAnsi="Times New Roman" w:cs="Times New Roman"/>
          <w:sz w:val="24"/>
          <w:szCs w:val="24"/>
        </w:rPr>
        <w:t>s</w:t>
      </w:r>
      <w:r w:rsidR="00DB1F60">
        <w:rPr>
          <w:rFonts w:ascii="Times New Roman" w:hAnsi="Times New Roman" w:cs="Times New Roman"/>
          <w:sz w:val="24"/>
          <w:szCs w:val="24"/>
        </w:rPr>
        <w:t xml:space="preserve"> F</w:t>
      </w:r>
      <w:r w:rsidRPr="00651B82">
        <w:rPr>
          <w:rFonts w:ascii="Times New Roman" w:hAnsi="Times New Roman" w:cs="Times New Roman"/>
          <w:sz w:val="24"/>
          <w:szCs w:val="24"/>
        </w:rPr>
        <w:t>igura</w:t>
      </w:r>
      <w:r w:rsidR="0094452F">
        <w:rPr>
          <w:rFonts w:ascii="Times New Roman" w:hAnsi="Times New Roman" w:cs="Times New Roman"/>
          <w:sz w:val="24"/>
          <w:szCs w:val="24"/>
        </w:rPr>
        <w:t>s</w:t>
      </w:r>
      <w:r w:rsidRPr="00651B82">
        <w:rPr>
          <w:rFonts w:ascii="Times New Roman" w:hAnsi="Times New Roman" w:cs="Times New Roman"/>
          <w:sz w:val="24"/>
          <w:szCs w:val="24"/>
        </w:rPr>
        <w:t xml:space="preserve"> 1</w:t>
      </w:r>
      <w:r w:rsidR="007A7EAE">
        <w:rPr>
          <w:rFonts w:ascii="Times New Roman" w:hAnsi="Times New Roman" w:cs="Times New Roman"/>
          <w:sz w:val="24"/>
          <w:szCs w:val="24"/>
        </w:rPr>
        <w:t xml:space="preserve"> e 2</w:t>
      </w:r>
      <w:r w:rsidRPr="00651B82">
        <w:rPr>
          <w:rFonts w:ascii="Times New Roman" w:hAnsi="Times New Roman" w:cs="Times New Roman"/>
          <w:sz w:val="24"/>
          <w:szCs w:val="24"/>
        </w:rPr>
        <w:t>.</w:t>
      </w:r>
    </w:p>
    <w:p w:rsidR="00D420DA" w:rsidRPr="00651B82" w:rsidRDefault="00D420DA" w:rsidP="006678A3">
      <w:pPr>
        <w:tabs>
          <w:tab w:val="left" w:pos="567"/>
          <w:tab w:val="left" w:pos="709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8588317" wp14:editId="66A9C944">
            <wp:extent cx="4371975" cy="15144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7EAE" w:rsidRPr="00E2376C" w:rsidRDefault="00723B4A" w:rsidP="00E2376C">
      <w:pPr>
        <w:pStyle w:val="Legenda"/>
        <w:tabs>
          <w:tab w:val="left" w:pos="142"/>
          <w:tab w:val="left" w:pos="284"/>
        </w:tabs>
        <w:spacing w:after="0" w:line="360" w:lineRule="auto"/>
        <w:ind w:right="-1"/>
        <w:rPr>
          <w:rFonts w:ascii="Times New Roman" w:hAnsi="Times New Roman"/>
          <w:b w:val="0"/>
          <w:color w:val="auto"/>
          <w:sz w:val="20"/>
          <w:szCs w:val="20"/>
        </w:rPr>
      </w:pPr>
      <w:r w:rsidRPr="00BB3F6B">
        <w:rPr>
          <w:rFonts w:ascii="Times New Roman" w:hAnsi="Times New Roman"/>
          <w:b w:val="0"/>
          <w:color w:val="auto"/>
          <w:sz w:val="20"/>
          <w:szCs w:val="20"/>
        </w:rPr>
        <w:t xml:space="preserve">Figura </w:t>
      </w:r>
      <w:r w:rsidRPr="00BB3F6B">
        <w:rPr>
          <w:rFonts w:ascii="Times New Roman" w:hAnsi="Times New Roman"/>
          <w:b w:val="0"/>
          <w:color w:val="auto"/>
          <w:sz w:val="20"/>
          <w:szCs w:val="20"/>
        </w:rPr>
        <w:fldChar w:fldCharType="begin"/>
      </w:r>
      <w:r w:rsidRPr="00BB3F6B">
        <w:rPr>
          <w:rFonts w:ascii="Times New Roman" w:hAnsi="Times New Roman"/>
          <w:b w:val="0"/>
          <w:color w:val="auto"/>
          <w:sz w:val="20"/>
          <w:szCs w:val="20"/>
        </w:rPr>
        <w:instrText xml:space="preserve"> SEQ Figura \* ARABIC </w:instrText>
      </w:r>
      <w:r w:rsidRPr="00BB3F6B">
        <w:rPr>
          <w:rFonts w:ascii="Times New Roman" w:hAnsi="Times New Roman"/>
          <w:b w:val="0"/>
          <w:color w:val="auto"/>
          <w:sz w:val="20"/>
          <w:szCs w:val="20"/>
        </w:rPr>
        <w:fldChar w:fldCharType="separate"/>
      </w:r>
      <w:r w:rsidRPr="00BB3F6B">
        <w:rPr>
          <w:rFonts w:ascii="Times New Roman" w:hAnsi="Times New Roman"/>
          <w:b w:val="0"/>
          <w:noProof/>
          <w:color w:val="auto"/>
          <w:sz w:val="20"/>
          <w:szCs w:val="20"/>
        </w:rPr>
        <w:t>1</w:t>
      </w:r>
      <w:r w:rsidRPr="00BB3F6B">
        <w:rPr>
          <w:rFonts w:ascii="Times New Roman" w:hAnsi="Times New Roman"/>
          <w:b w:val="0"/>
          <w:color w:val="auto"/>
          <w:sz w:val="20"/>
          <w:szCs w:val="20"/>
        </w:rPr>
        <w:fldChar w:fldCharType="end"/>
      </w:r>
      <w:r w:rsidRPr="00BB3F6B">
        <w:rPr>
          <w:rFonts w:ascii="Times New Roman" w:hAnsi="Times New Roman"/>
          <w:b w:val="0"/>
          <w:color w:val="auto"/>
          <w:sz w:val="20"/>
          <w:szCs w:val="20"/>
        </w:rPr>
        <w:t xml:space="preserve"> - Alunos que frequentaram a monitoria pelo menos uma vez durante o período</w:t>
      </w:r>
      <w:r w:rsidR="00EC321C">
        <w:rPr>
          <w:rFonts w:ascii="Times New Roman" w:hAnsi="Times New Roman"/>
          <w:b w:val="0"/>
          <w:color w:val="auto"/>
          <w:sz w:val="20"/>
          <w:szCs w:val="20"/>
        </w:rPr>
        <w:t xml:space="preserve"> de 2012.2</w:t>
      </w:r>
      <w:r w:rsidR="007A7EAE">
        <w:rPr>
          <w:rFonts w:ascii="Times New Roman" w:hAnsi="Times New Roman"/>
          <w:b w:val="0"/>
          <w:color w:val="auto"/>
          <w:sz w:val="20"/>
          <w:szCs w:val="20"/>
        </w:rPr>
        <w:t xml:space="preserve">. </w:t>
      </w:r>
    </w:p>
    <w:p w:rsidR="00BA24FE" w:rsidRDefault="003D5244" w:rsidP="00E2376C">
      <w:pPr>
        <w:spacing w:after="0" w:line="360" w:lineRule="auto"/>
        <w:ind w:right="-1"/>
        <w:jc w:val="center"/>
      </w:pPr>
      <w:r>
        <w:rPr>
          <w:noProof/>
          <w:lang w:eastAsia="pt-BR"/>
        </w:rPr>
        <w:drawing>
          <wp:inline distT="0" distB="0" distL="0" distR="0" wp14:anchorId="28E77FCE" wp14:editId="541EDC93">
            <wp:extent cx="4610100" cy="1581150"/>
            <wp:effectExtent l="0" t="19050" r="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570C" w:rsidRPr="00BA24FE" w:rsidRDefault="00463CD2" w:rsidP="00E2376C">
      <w:pPr>
        <w:spacing w:after="0" w:line="36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Figura</w:t>
      </w:r>
      <w:r w:rsidRPr="00463CD2">
        <w:rPr>
          <w:rFonts w:ascii="Times New Roman" w:hAnsi="Times New Roman" w:cs="Times New Roman"/>
          <w:sz w:val="20"/>
          <w:szCs w:val="20"/>
        </w:rPr>
        <w:t xml:space="preserve"> 2 – Alunos que frequentaram a monitoria pelo menos uma vez durante o período </w:t>
      </w:r>
      <w:r w:rsidR="00EC321C">
        <w:rPr>
          <w:rFonts w:ascii="Times New Roman" w:hAnsi="Times New Roman" w:cs="Times New Roman"/>
          <w:sz w:val="20"/>
          <w:szCs w:val="20"/>
        </w:rPr>
        <w:t>de 2013.1</w:t>
      </w:r>
      <w:r w:rsidR="00670FC1">
        <w:rPr>
          <w:rFonts w:ascii="Times New Roman" w:hAnsi="Times New Roman" w:cs="Times New Roman"/>
          <w:sz w:val="20"/>
          <w:szCs w:val="20"/>
        </w:rPr>
        <w:t>.</w:t>
      </w:r>
    </w:p>
    <w:p w:rsidR="00931EAA" w:rsidRPr="00651B82" w:rsidRDefault="00A4354D" w:rsidP="00407E18">
      <w:pPr>
        <w:pStyle w:val="SemEspaamento"/>
        <w:tabs>
          <w:tab w:val="left" w:pos="426"/>
          <w:tab w:val="left" w:pos="709"/>
        </w:tabs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651B82">
        <w:rPr>
          <w:rFonts w:ascii="Times New Roman" w:hAnsi="Times New Roman"/>
          <w:sz w:val="24"/>
          <w:szCs w:val="24"/>
        </w:rPr>
        <w:t>Pode-se observar</w:t>
      </w:r>
      <w:r w:rsidR="00463CD2">
        <w:rPr>
          <w:rFonts w:ascii="Times New Roman" w:hAnsi="Times New Roman"/>
          <w:sz w:val="24"/>
          <w:szCs w:val="24"/>
        </w:rPr>
        <w:t xml:space="preserve"> que durante o período referente a 2012.2</w:t>
      </w:r>
      <w:r w:rsidR="0000782C">
        <w:rPr>
          <w:rFonts w:ascii="Times New Roman" w:hAnsi="Times New Roman"/>
          <w:sz w:val="24"/>
          <w:szCs w:val="24"/>
        </w:rPr>
        <w:t xml:space="preserve"> e 2013.1</w:t>
      </w:r>
      <w:r w:rsidR="0060466D">
        <w:rPr>
          <w:rFonts w:ascii="Times New Roman" w:hAnsi="Times New Roman"/>
          <w:sz w:val="24"/>
          <w:szCs w:val="24"/>
        </w:rPr>
        <w:t xml:space="preserve"> </w:t>
      </w:r>
      <w:r w:rsidR="0000782C">
        <w:rPr>
          <w:rFonts w:ascii="Times New Roman" w:hAnsi="Times New Roman"/>
          <w:sz w:val="24"/>
          <w:szCs w:val="24"/>
        </w:rPr>
        <w:t xml:space="preserve">respectivamente </w:t>
      </w:r>
      <w:r w:rsidRPr="00651B82">
        <w:rPr>
          <w:rFonts w:ascii="Times New Roman" w:hAnsi="Times New Roman"/>
          <w:sz w:val="24"/>
          <w:szCs w:val="24"/>
        </w:rPr>
        <w:t>a monitoria atendeu</w:t>
      </w:r>
      <w:r w:rsidR="0000782C">
        <w:rPr>
          <w:rFonts w:ascii="Times New Roman" w:hAnsi="Times New Roman"/>
          <w:sz w:val="24"/>
          <w:szCs w:val="24"/>
        </w:rPr>
        <w:t xml:space="preserve"> a </w:t>
      </w:r>
      <w:r w:rsidR="000341F3" w:rsidRPr="00651B82">
        <w:rPr>
          <w:rFonts w:ascii="Times New Roman" w:hAnsi="Times New Roman"/>
          <w:sz w:val="24"/>
          <w:szCs w:val="24"/>
        </w:rPr>
        <w:t>37</w:t>
      </w:r>
      <w:r w:rsidRPr="00651B82">
        <w:rPr>
          <w:rFonts w:ascii="Times New Roman" w:hAnsi="Times New Roman"/>
          <w:sz w:val="24"/>
          <w:szCs w:val="24"/>
        </w:rPr>
        <w:t xml:space="preserve">% </w:t>
      </w:r>
      <w:r w:rsidR="0000782C">
        <w:rPr>
          <w:rFonts w:ascii="Times New Roman" w:hAnsi="Times New Roman"/>
          <w:sz w:val="24"/>
          <w:szCs w:val="24"/>
        </w:rPr>
        <w:t>e</w:t>
      </w:r>
      <w:r w:rsidR="00C506D9">
        <w:rPr>
          <w:rFonts w:ascii="Times New Roman" w:hAnsi="Times New Roman"/>
          <w:sz w:val="24"/>
          <w:szCs w:val="24"/>
        </w:rPr>
        <w:t xml:space="preserve"> 96% </w:t>
      </w:r>
      <w:r w:rsidRPr="00651B82">
        <w:rPr>
          <w:rFonts w:ascii="Times New Roman" w:hAnsi="Times New Roman"/>
          <w:sz w:val="24"/>
          <w:szCs w:val="24"/>
        </w:rPr>
        <w:t>do total de alunos matriculados</w:t>
      </w:r>
      <w:r w:rsidR="00F61A7E" w:rsidRPr="00651B82">
        <w:rPr>
          <w:rFonts w:ascii="Times New Roman" w:hAnsi="Times New Roman"/>
          <w:sz w:val="24"/>
          <w:szCs w:val="24"/>
        </w:rPr>
        <w:t xml:space="preserve"> na</w:t>
      </w:r>
      <w:r w:rsidR="00723B4A" w:rsidRPr="00651B82">
        <w:rPr>
          <w:rFonts w:ascii="Times New Roman" w:hAnsi="Times New Roman"/>
          <w:sz w:val="24"/>
          <w:szCs w:val="24"/>
        </w:rPr>
        <w:t xml:space="preserve"> deferida</w:t>
      </w:r>
      <w:r w:rsidR="00F61A7E" w:rsidRPr="00651B82">
        <w:rPr>
          <w:rFonts w:ascii="Times New Roman" w:hAnsi="Times New Roman"/>
          <w:sz w:val="24"/>
          <w:szCs w:val="24"/>
        </w:rPr>
        <w:t xml:space="preserve"> disciplina</w:t>
      </w:r>
      <w:r w:rsidR="00C506D9">
        <w:rPr>
          <w:rFonts w:ascii="Times New Roman" w:hAnsi="Times New Roman"/>
          <w:sz w:val="24"/>
          <w:szCs w:val="24"/>
        </w:rPr>
        <w:t xml:space="preserve"> em cada um dos períodos</w:t>
      </w:r>
      <w:r w:rsidR="00762A9F">
        <w:rPr>
          <w:rFonts w:ascii="Times New Roman" w:hAnsi="Times New Roman"/>
          <w:sz w:val="24"/>
          <w:szCs w:val="24"/>
        </w:rPr>
        <w:t xml:space="preserve">, </w:t>
      </w:r>
      <w:r w:rsidR="000B0C2F" w:rsidRPr="00651B82">
        <w:rPr>
          <w:rFonts w:ascii="Times New Roman" w:hAnsi="Times New Roman"/>
          <w:sz w:val="24"/>
          <w:szCs w:val="24"/>
        </w:rPr>
        <w:t>de modo que este</w:t>
      </w:r>
      <w:r w:rsidR="0000782C">
        <w:rPr>
          <w:rFonts w:ascii="Times New Roman" w:hAnsi="Times New Roman"/>
          <w:sz w:val="24"/>
          <w:szCs w:val="24"/>
        </w:rPr>
        <w:t>s</w:t>
      </w:r>
      <w:r w:rsidR="000B0C2F" w:rsidRPr="00651B82">
        <w:rPr>
          <w:rFonts w:ascii="Times New Roman" w:hAnsi="Times New Roman"/>
          <w:sz w:val="24"/>
          <w:szCs w:val="24"/>
        </w:rPr>
        <w:t xml:space="preserve"> perc</w:t>
      </w:r>
      <w:r w:rsidR="0000782C">
        <w:rPr>
          <w:rFonts w:ascii="Times New Roman" w:hAnsi="Times New Roman"/>
          <w:sz w:val="24"/>
          <w:szCs w:val="24"/>
        </w:rPr>
        <w:t>entuais</w:t>
      </w:r>
      <w:r w:rsidR="003D2E93" w:rsidRPr="00651B82">
        <w:rPr>
          <w:rFonts w:ascii="Times New Roman" w:hAnsi="Times New Roman"/>
          <w:sz w:val="24"/>
          <w:szCs w:val="24"/>
        </w:rPr>
        <w:t xml:space="preserve"> demostra</w:t>
      </w:r>
      <w:r w:rsidR="0000782C">
        <w:rPr>
          <w:rFonts w:ascii="Times New Roman" w:hAnsi="Times New Roman"/>
          <w:sz w:val="24"/>
          <w:szCs w:val="24"/>
        </w:rPr>
        <w:t>m</w:t>
      </w:r>
      <w:r w:rsidR="003D2E93" w:rsidRPr="00651B82">
        <w:rPr>
          <w:rFonts w:ascii="Times New Roman" w:hAnsi="Times New Roman"/>
          <w:sz w:val="24"/>
          <w:szCs w:val="24"/>
        </w:rPr>
        <w:t xml:space="preserve"> </w:t>
      </w:r>
      <w:r w:rsidR="00F61A7E" w:rsidRPr="00651B82">
        <w:rPr>
          <w:rFonts w:ascii="Times New Roman" w:hAnsi="Times New Roman"/>
          <w:sz w:val="24"/>
          <w:szCs w:val="24"/>
        </w:rPr>
        <w:t>o</w:t>
      </w:r>
      <w:r w:rsidR="00770782" w:rsidRPr="00651B82">
        <w:rPr>
          <w:rFonts w:ascii="Times New Roman" w:hAnsi="Times New Roman"/>
          <w:sz w:val="24"/>
          <w:szCs w:val="24"/>
        </w:rPr>
        <w:t xml:space="preserve"> total de</w:t>
      </w:r>
      <w:r w:rsidR="00F61A7E" w:rsidRPr="00651B82">
        <w:rPr>
          <w:rFonts w:ascii="Times New Roman" w:hAnsi="Times New Roman"/>
          <w:sz w:val="24"/>
          <w:szCs w:val="24"/>
        </w:rPr>
        <w:t xml:space="preserve"> </w:t>
      </w:r>
      <w:r w:rsidRPr="00651B82">
        <w:rPr>
          <w:rFonts w:ascii="Times New Roman" w:hAnsi="Times New Roman"/>
          <w:sz w:val="24"/>
          <w:szCs w:val="24"/>
        </w:rPr>
        <w:t>aluno</w:t>
      </w:r>
      <w:r w:rsidR="00770782" w:rsidRPr="00651B82">
        <w:rPr>
          <w:rFonts w:ascii="Times New Roman" w:hAnsi="Times New Roman"/>
          <w:sz w:val="24"/>
          <w:szCs w:val="24"/>
        </w:rPr>
        <w:t xml:space="preserve">s que </w:t>
      </w:r>
      <w:r w:rsidR="00F61A7E" w:rsidRPr="00651B82">
        <w:rPr>
          <w:rFonts w:ascii="Times New Roman" w:hAnsi="Times New Roman"/>
          <w:sz w:val="24"/>
          <w:szCs w:val="24"/>
        </w:rPr>
        <w:t>frequentou</w:t>
      </w:r>
      <w:r w:rsidRPr="00651B82">
        <w:rPr>
          <w:rFonts w:ascii="Times New Roman" w:hAnsi="Times New Roman"/>
          <w:sz w:val="24"/>
          <w:szCs w:val="24"/>
        </w:rPr>
        <w:t xml:space="preserve"> pelo menos uma vez as atividades de monitoria durante</w:t>
      </w:r>
      <w:r w:rsidR="000B0C2F" w:rsidRPr="00651B82">
        <w:rPr>
          <w:rFonts w:ascii="Times New Roman" w:hAnsi="Times New Roman"/>
          <w:sz w:val="24"/>
          <w:szCs w:val="24"/>
        </w:rPr>
        <w:t xml:space="preserve"> todo o</w:t>
      </w:r>
      <w:r w:rsidR="00F61A7E" w:rsidRPr="00651B82">
        <w:rPr>
          <w:rFonts w:ascii="Times New Roman" w:hAnsi="Times New Roman"/>
          <w:sz w:val="24"/>
          <w:szCs w:val="24"/>
        </w:rPr>
        <w:t xml:space="preserve"> período letivo</w:t>
      </w:r>
      <w:r w:rsidR="000B0C2F" w:rsidRPr="00651B82">
        <w:rPr>
          <w:rFonts w:ascii="Times New Roman" w:hAnsi="Times New Roman"/>
          <w:sz w:val="24"/>
          <w:szCs w:val="24"/>
        </w:rPr>
        <w:t xml:space="preserve"> 2012.2</w:t>
      </w:r>
      <w:r w:rsidR="0000782C">
        <w:rPr>
          <w:rFonts w:ascii="Times New Roman" w:hAnsi="Times New Roman"/>
          <w:sz w:val="24"/>
          <w:szCs w:val="24"/>
        </w:rPr>
        <w:t xml:space="preserve"> e 2013.1</w:t>
      </w:r>
      <w:r w:rsidR="000324A4">
        <w:rPr>
          <w:rFonts w:ascii="Times New Roman" w:hAnsi="Times New Roman"/>
          <w:sz w:val="24"/>
          <w:szCs w:val="24"/>
        </w:rPr>
        <w:t xml:space="preserve"> (Figuras 1 e 2)</w:t>
      </w:r>
      <w:r w:rsidR="00931EAA">
        <w:rPr>
          <w:rFonts w:ascii="Times New Roman" w:hAnsi="Times New Roman"/>
          <w:sz w:val="24"/>
          <w:szCs w:val="24"/>
        </w:rPr>
        <w:t>.</w:t>
      </w:r>
    </w:p>
    <w:p w:rsidR="006678A3" w:rsidRPr="000324A4" w:rsidRDefault="000324A4" w:rsidP="000324A4">
      <w:pPr>
        <w:pStyle w:val="PargrafodaLista"/>
        <w:tabs>
          <w:tab w:val="left" w:pos="851"/>
          <w:tab w:val="left" w:pos="993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 acordo com a</w:t>
      </w:r>
      <w:r w:rsidR="00D91A23" w:rsidRPr="00651B82">
        <w:rPr>
          <w:rFonts w:ascii="Times New Roman" w:hAnsi="Times New Roman"/>
          <w:sz w:val="24"/>
          <w:szCs w:val="24"/>
        </w:rPr>
        <w:t xml:space="preserve"> procura</w:t>
      </w:r>
      <w:r w:rsidR="00290821" w:rsidRPr="00651B82">
        <w:rPr>
          <w:rFonts w:ascii="Times New Roman" w:hAnsi="Times New Roman"/>
          <w:sz w:val="24"/>
          <w:szCs w:val="24"/>
        </w:rPr>
        <w:t xml:space="preserve"> dos</w:t>
      </w:r>
      <w:r w:rsidR="00D91A23" w:rsidRPr="00651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alunos</w:t>
      </w:r>
      <w:r w:rsidR="00D91A23" w:rsidRPr="00651B82">
        <w:rPr>
          <w:rFonts w:ascii="Times New Roman" w:hAnsi="Times New Roman"/>
          <w:sz w:val="24"/>
          <w:szCs w:val="24"/>
        </w:rPr>
        <w:t xml:space="preserve"> </w:t>
      </w:r>
      <w:r w:rsidR="00290821" w:rsidRPr="00651B8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monitoria</w:t>
      </w:r>
      <w:r w:rsidR="00290821" w:rsidRPr="00651B82">
        <w:rPr>
          <w:rFonts w:ascii="Times New Roman" w:hAnsi="Times New Roman"/>
          <w:sz w:val="24"/>
          <w:szCs w:val="24"/>
        </w:rPr>
        <w:t xml:space="preserve"> </w:t>
      </w:r>
      <w:r w:rsidR="00D91A23" w:rsidRPr="00651B82">
        <w:rPr>
          <w:rFonts w:ascii="Times New Roman" w:hAnsi="Times New Roman"/>
          <w:sz w:val="24"/>
          <w:szCs w:val="24"/>
        </w:rPr>
        <w:t>em cada um dos estágios</w:t>
      </w:r>
      <w:r w:rsidR="001169D8" w:rsidRPr="001169D8">
        <w:rPr>
          <w:rFonts w:ascii="Times New Roman" w:hAnsi="Times New Roman"/>
          <w:sz w:val="24"/>
          <w:szCs w:val="24"/>
        </w:rPr>
        <w:t xml:space="preserve"> </w:t>
      </w:r>
      <w:r w:rsidR="001169D8" w:rsidRPr="00651B82">
        <w:rPr>
          <w:rFonts w:ascii="Times New Roman" w:hAnsi="Times New Roman"/>
          <w:sz w:val="24"/>
          <w:szCs w:val="24"/>
        </w:rPr>
        <w:t>que contempla a disciplina</w:t>
      </w:r>
      <w:r w:rsidR="00444D82">
        <w:rPr>
          <w:rFonts w:ascii="Times New Roman" w:hAnsi="Times New Roman"/>
          <w:sz w:val="24"/>
          <w:szCs w:val="24"/>
        </w:rPr>
        <w:t xml:space="preserve"> nos seus determinados períodos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foi possível observar </w:t>
      </w: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independentemente do período, à </w:t>
      </w:r>
      <w:r w:rsidRPr="00651B82">
        <w:rPr>
          <w:rFonts w:ascii="Times New Roman" w:hAnsi="Times New Roman" w:cs="Times New Roman"/>
          <w:sz w:val="24"/>
          <w:szCs w:val="24"/>
        </w:rPr>
        <w:t xml:space="preserve">medida que se aproximam as avaliações da disciplina, há um aumento significativo do número de alunos que buscaram as atividades da monitoria com o intuito de sanar suas dúvidas em relação aos conteúdos que </w:t>
      </w:r>
      <w:r>
        <w:rPr>
          <w:rFonts w:ascii="Times New Roman" w:hAnsi="Times New Roman" w:cs="Times New Roman"/>
          <w:sz w:val="24"/>
          <w:szCs w:val="24"/>
        </w:rPr>
        <w:t>serão</w:t>
      </w:r>
      <w:r w:rsidRPr="00651B82">
        <w:rPr>
          <w:rFonts w:ascii="Times New Roman" w:hAnsi="Times New Roman" w:cs="Times New Roman"/>
          <w:sz w:val="24"/>
          <w:szCs w:val="24"/>
        </w:rPr>
        <w:t xml:space="preserve"> abordados nas</w:t>
      </w:r>
      <w:r>
        <w:rPr>
          <w:rFonts w:ascii="Times New Roman" w:hAnsi="Times New Roman" w:cs="Times New Roman"/>
          <w:sz w:val="24"/>
          <w:szCs w:val="24"/>
        </w:rPr>
        <w:t xml:space="preserve"> avaliações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(Fi</w:t>
      </w:r>
      <w:r w:rsidRPr="00651B82">
        <w:rPr>
          <w:rFonts w:ascii="Times New Roman" w:hAnsi="Times New Roman"/>
          <w:sz w:val="24"/>
          <w:szCs w:val="24"/>
        </w:rPr>
        <w:t>gura</w:t>
      </w:r>
      <w:r>
        <w:rPr>
          <w:rFonts w:ascii="Times New Roman" w:hAnsi="Times New Roman"/>
          <w:sz w:val="24"/>
          <w:szCs w:val="24"/>
        </w:rPr>
        <w:t>s 3 e 4)</w:t>
      </w:r>
      <w:r w:rsidR="00A535E2" w:rsidRPr="00651B82">
        <w:rPr>
          <w:rFonts w:ascii="Times New Roman" w:hAnsi="Times New Roman"/>
          <w:sz w:val="24"/>
          <w:szCs w:val="24"/>
        </w:rPr>
        <w:t>.</w:t>
      </w:r>
    </w:p>
    <w:p w:rsidR="00816FE6" w:rsidRPr="00E2376C" w:rsidRDefault="00BA24FE" w:rsidP="00E2376C">
      <w:pPr>
        <w:pStyle w:val="SemEspaamento"/>
        <w:tabs>
          <w:tab w:val="left" w:pos="567"/>
          <w:tab w:val="left" w:pos="2127"/>
        </w:tabs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6678A3">
        <w:rPr>
          <w:rFonts w:ascii="Times New Roman" w:hAnsi="Times New Roman"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6411C360" wp14:editId="18812E17">
            <wp:simplePos x="0" y="0"/>
            <wp:positionH relativeFrom="column">
              <wp:posOffset>929640</wp:posOffset>
            </wp:positionH>
            <wp:positionV relativeFrom="paragraph">
              <wp:posOffset>140970</wp:posOffset>
            </wp:positionV>
            <wp:extent cx="4562475" cy="2228850"/>
            <wp:effectExtent l="0" t="0" r="0" b="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FC1" w:rsidRPr="00407E18">
        <w:rPr>
          <w:rFonts w:ascii="Times New Roman" w:hAnsi="Times New Roman"/>
          <w:sz w:val="24"/>
          <w:szCs w:val="24"/>
        </w:rPr>
        <w:br w:type="textWrapping" w:clear="all"/>
      </w:r>
      <w:r w:rsidR="00816FE6" w:rsidRPr="00BB3F6B">
        <w:rPr>
          <w:rFonts w:ascii="Times New Roman" w:hAnsi="Times New Roman"/>
          <w:sz w:val="20"/>
          <w:szCs w:val="20"/>
        </w:rPr>
        <w:t xml:space="preserve">Figura </w:t>
      </w:r>
      <w:r w:rsidR="00816FE6" w:rsidRPr="00BB3F6B">
        <w:rPr>
          <w:rFonts w:ascii="Times New Roman" w:hAnsi="Times New Roman"/>
          <w:sz w:val="20"/>
          <w:szCs w:val="20"/>
        </w:rPr>
        <w:fldChar w:fldCharType="begin"/>
      </w:r>
      <w:r w:rsidR="00816FE6" w:rsidRPr="00BB3F6B">
        <w:rPr>
          <w:rFonts w:ascii="Times New Roman" w:hAnsi="Times New Roman"/>
          <w:sz w:val="20"/>
          <w:szCs w:val="20"/>
        </w:rPr>
        <w:instrText xml:space="preserve"> SEQ Figura \* ARABIC </w:instrText>
      </w:r>
      <w:r w:rsidR="00816FE6" w:rsidRPr="00BB3F6B">
        <w:rPr>
          <w:rFonts w:ascii="Times New Roman" w:hAnsi="Times New Roman"/>
          <w:sz w:val="20"/>
          <w:szCs w:val="20"/>
        </w:rPr>
        <w:fldChar w:fldCharType="separate"/>
      </w:r>
      <w:r w:rsidR="00816FE6" w:rsidRPr="00BB3F6B">
        <w:rPr>
          <w:rFonts w:ascii="Times New Roman" w:hAnsi="Times New Roman"/>
          <w:noProof/>
          <w:sz w:val="20"/>
          <w:szCs w:val="20"/>
        </w:rPr>
        <w:t>3</w:t>
      </w:r>
      <w:r w:rsidR="00816FE6" w:rsidRPr="00BB3F6B">
        <w:rPr>
          <w:rFonts w:ascii="Times New Roman" w:hAnsi="Times New Roman"/>
          <w:sz w:val="20"/>
          <w:szCs w:val="20"/>
        </w:rPr>
        <w:fldChar w:fldCharType="end"/>
      </w:r>
      <w:r w:rsidR="00816FE6" w:rsidRPr="00BB3F6B">
        <w:rPr>
          <w:rFonts w:ascii="Times New Roman" w:hAnsi="Times New Roman"/>
          <w:sz w:val="20"/>
          <w:szCs w:val="20"/>
        </w:rPr>
        <w:t xml:space="preserve"> - Representação da variação da demanda pela mo</w:t>
      </w:r>
      <w:r w:rsidR="00816FE6">
        <w:rPr>
          <w:rFonts w:ascii="Times New Roman" w:hAnsi="Times New Roman"/>
          <w:sz w:val="20"/>
          <w:szCs w:val="20"/>
        </w:rPr>
        <w:t>nitoria durante cada um dos estágios do período letivo de</w:t>
      </w:r>
      <w:r w:rsidR="00816FE6" w:rsidRPr="00BB3F6B">
        <w:rPr>
          <w:rFonts w:ascii="Times New Roman" w:hAnsi="Times New Roman"/>
          <w:sz w:val="20"/>
          <w:szCs w:val="20"/>
        </w:rPr>
        <w:t xml:space="preserve"> 2012.2</w:t>
      </w:r>
    </w:p>
    <w:p w:rsidR="009A6884" w:rsidRDefault="009A6884" w:rsidP="00BA6176">
      <w:pPr>
        <w:pStyle w:val="PargrafodaLista"/>
        <w:spacing w:line="360" w:lineRule="auto"/>
        <w:ind w:left="0" w:right="-1"/>
        <w:rPr>
          <w:rFonts w:ascii="Times New Roman" w:hAnsi="Times New Roman" w:cs="Times New Roman"/>
          <w:sz w:val="20"/>
          <w:szCs w:val="20"/>
        </w:rPr>
      </w:pPr>
    </w:p>
    <w:p w:rsidR="00435A03" w:rsidRDefault="00435A03" w:rsidP="00E2376C">
      <w:pPr>
        <w:pStyle w:val="PargrafodaLista"/>
        <w:tabs>
          <w:tab w:val="left" w:pos="8505"/>
        </w:tabs>
        <w:spacing w:after="0" w:line="360" w:lineRule="auto"/>
        <w:ind w:left="0" w:right="-1"/>
        <w:jc w:val="center"/>
        <w:rPr>
          <w:rFonts w:ascii="Times New Roman" w:hAnsi="Times New Roman" w:cs="Times New Roman"/>
          <w:sz w:val="20"/>
          <w:szCs w:val="20"/>
        </w:rPr>
      </w:pPr>
      <w:r w:rsidRPr="006678A3">
        <w:rPr>
          <w:rFonts w:ascii="Times New Roman" w:hAnsi="Times New Roman" w:cs="Times New Roman"/>
          <w:noProof/>
          <w:sz w:val="20"/>
          <w:lang w:eastAsia="pt-BR"/>
        </w:rPr>
        <w:drawing>
          <wp:inline distT="0" distB="0" distL="0" distR="0" wp14:anchorId="6ECA3853" wp14:editId="5EDFC0A3">
            <wp:extent cx="4791075" cy="22479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761B" w:rsidRDefault="003F5D0C" w:rsidP="001D761B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Figura 4 - </w:t>
      </w:r>
      <w:r w:rsidR="00286573" w:rsidRPr="00BB3F6B">
        <w:rPr>
          <w:rFonts w:ascii="Times New Roman" w:hAnsi="Times New Roman" w:cs="Times New Roman"/>
          <w:sz w:val="20"/>
          <w:szCs w:val="20"/>
        </w:rPr>
        <w:t>Representação da variação da demanda pela mo</w:t>
      </w:r>
      <w:r w:rsidR="009A622C">
        <w:rPr>
          <w:rFonts w:ascii="Times New Roman" w:hAnsi="Times New Roman" w:cs="Times New Roman"/>
          <w:sz w:val="20"/>
          <w:szCs w:val="20"/>
        </w:rPr>
        <w:t xml:space="preserve">nitoria durante </w:t>
      </w:r>
      <w:r w:rsidR="00286573">
        <w:rPr>
          <w:rFonts w:ascii="Times New Roman" w:hAnsi="Times New Roman" w:cs="Times New Roman"/>
          <w:sz w:val="20"/>
          <w:szCs w:val="20"/>
        </w:rPr>
        <w:t>cada um dos estágios do período letivo de</w:t>
      </w:r>
      <w:r w:rsidR="009A622C">
        <w:rPr>
          <w:rFonts w:ascii="Times New Roman" w:hAnsi="Times New Roman" w:cs="Times New Roman"/>
          <w:sz w:val="20"/>
          <w:szCs w:val="20"/>
        </w:rPr>
        <w:t xml:space="preserve"> 2013.1</w:t>
      </w:r>
    </w:p>
    <w:p w:rsidR="00407E18" w:rsidRPr="00651B82" w:rsidRDefault="001D761B" w:rsidP="009B4CEF">
      <w:pPr>
        <w:pStyle w:val="PargrafodaLista"/>
        <w:tabs>
          <w:tab w:val="left" w:pos="851"/>
          <w:tab w:val="left" w:pos="993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90BC1" w:rsidRPr="00651B82">
        <w:rPr>
          <w:rFonts w:ascii="Times New Roman" w:hAnsi="Times New Roman" w:cs="Times New Roman"/>
          <w:sz w:val="24"/>
          <w:szCs w:val="24"/>
        </w:rPr>
        <w:t>C</w:t>
      </w:r>
      <w:r w:rsidR="002B6997" w:rsidRPr="00651B82">
        <w:rPr>
          <w:rFonts w:ascii="Times New Roman" w:hAnsi="Times New Roman" w:cs="Times New Roman"/>
          <w:sz w:val="24"/>
          <w:szCs w:val="24"/>
        </w:rPr>
        <w:t>om o termi</w:t>
      </w:r>
      <w:r w:rsidR="003B545D" w:rsidRPr="00651B82">
        <w:rPr>
          <w:rFonts w:ascii="Times New Roman" w:hAnsi="Times New Roman" w:cs="Times New Roman"/>
          <w:sz w:val="24"/>
          <w:szCs w:val="24"/>
        </w:rPr>
        <w:t>no da disciplina</w:t>
      </w:r>
      <w:r w:rsidR="006C5AAD">
        <w:rPr>
          <w:rFonts w:ascii="Times New Roman" w:hAnsi="Times New Roman" w:cs="Times New Roman"/>
          <w:sz w:val="24"/>
          <w:szCs w:val="24"/>
        </w:rPr>
        <w:t xml:space="preserve"> no período relativo de</w:t>
      </w:r>
      <w:r w:rsidR="0000782C">
        <w:rPr>
          <w:rFonts w:ascii="Times New Roman" w:hAnsi="Times New Roman" w:cs="Times New Roman"/>
          <w:sz w:val="24"/>
          <w:szCs w:val="24"/>
        </w:rPr>
        <w:t xml:space="preserve"> 2012.2</w:t>
      </w:r>
      <w:r w:rsidR="00750CB2">
        <w:rPr>
          <w:rFonts w:ascii="Times New Roman" w:hAnsi="Times New Roman" w:cs="Times New Roman"/>
          <w:sz w:val="24"/>
          <w:szCs w:val="24"/>
        </w:rPr>
        <w:t xml:space="preserve"> e 2013.1</w:t>
      </w:r>
      <w:r w:rsidR="003B545D" w:rsidRPr="00651B82">
        <w:rPr>
          <w:rFonts w:ascii="Times New Roman" w:hAnsi="Times New Roman" w:cs="Times New Roman"/>
          <w:sz w:val="24"/>
          <w:szCs w:val="24"/>
        </w:rPr>
        <w:t xml:space="preserve"> tornou-</w:t>
      </w:r>
      <w:r w:rsidR="00E6473C" w:rsidRPr="00651B82">
        <w:rPr>
          <w:rFonts w:ascii="Times New Roman" w:hAnsi="Times New Roman" w:cs="Times New Roman"/>
          <w:sz w:val="24"/>
          <w:szCs w:val="24"/>
        </w:rPr>
        <w:t>se possível avaliar o desenvolvimento</w:t>
      </w:r>
      <w:r w:rsidR="003B545D" w:rsidRPr="00651B82">
        <w:rPr>
          <w:rFonts w:ascii="Times New Roman" w:hAnsi="Times New Roman" w:cs="Times New Roman"/>
          <w:sz w:val="24"/>
          <w:szCs w:val="24"/>
        </w:rPr>
        <w:t xml:space="preserve"> dos</w:t>
      </w:r>
      <w:r w:rsidR="00290BC1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E6473C" w:rsidRPr="00651B82">
        <w:rPr>
          <w:rFonts w:ascii="Times New Roman" w:hAnsi="Times New Roman" w:cs="Times New Roman"/>
          <w:sz w:val="24"/>
          <w:szCs w:val="24"/>
        </w:rPr>
        <w:t>alunos no decorrer do</w:t>
      </w:r>
      <w:r w:rsidR="00750CB2">
        <w:rPr>
          <w:rFonts w:ascii="Times New Roman" w:hAnsi="Times New Roman" w:cs="Times New Roman"/>
          <w:sz w:val="24"/>
          <w:szCs w:val="24"/>
        </w:rPr>
        <w:t>s</w:t>
      </w:r>
      <w:r w:rsidR="00E6473C" w:rsidRPr="00651B82">
        <w:rPr>
          <w:rFonts w:ascii="Times New Roman" w:hAnsi="Times New Roman" w:cs="Times New Roman"/>
          <w:sz w:val="24"/>
          <w:szCs w:val="24"/>
        </w:rPr>
        <w:t xml:space="preserve"> período</w:t>
      </w:r>
      <w:r w:rsidR="00750CB2">
        <w:rPr>
          <w:rFonts w:ascii="Times New Roman" w:hAnsi="Times New Roman" w:cs="Times New Roman"/>
          <w:sz w:val="24"/>
          <w:szCs w:val="24"/>
        </w:rPr>
        <w:t>s</w:t>
      </w:r>
      <w:r w:rsidR="00E6473C" w:rsidRPr="00651B82">
        <w:rPr>
          <w:rFonts w:ascii="Times New Roman" w:hAnsi="Times New Roman" w:cs="Times New Roman"/>
          <w:sz w:val="24"/>
          <w:szCs w:val="24"/>
        </w:rPr>
        <w:t xml:space="preserve"> na disciplina</w:t>
      </w:r>
      <w:r w:rsidR="002F579B" w:rsidRPr="00651B82">
        <w:rPr>
          <w:rFonts w:ascii="Times New Roman" w:hAnsi="Times New Roman" w:cs="Times New Roman"/>
          <w:sz w:val="24"/>
          <w:szCs w:val="24"/>
        </w:rPr>
        <w:t>,</w:t>
      </w:r>
      <w:r w:rsidR="0094452F">
        <w:rPr>
          <w:rFonts w:ascii="Times New Roman" w:hAnsi="Times New Roman" w:cs="Times New Roman"/>
          <w:sz w:val="24"/>
          <w:szCs w:val="24"/>
        </w:rPr>
        <w:t xml:space="preserve"> e</w:t>
      </w:r>
      <w:r w:rsidR="00EA1247">
        <w:rPr>
          <w:rFonts w:ascii="Times New Roman" w:hAnsi="Times New Roman" w:cs="Times New Roman"/>
          <w:sz w:val="24"/>
          <w:szCs w:val="24"/>
        </w:rPr>
        <w:t xml:space="preserve"> </w:t>
      </w:r>
      <w:r w:rsidR="00E6473C" w:rsidRPr="00651B82">
        <w:rPr>
          <w:rFonts w:ascii="Times New Roman" w:hAnsi="Times New Roman" w:cs="Times New Roman"/>
          <w:sz w:val="24"/>
          <w:szCs w:val="24"/>
        </w:rPr>
        <w:t>promover uma avaliação do desempenho dos mesmo</w:t>
      </w:r>
      <w:r w:rsidR="00EA1247">
        <w:rPr>
          <w:rFonts w:ascii="Times New Roman" w:hAnsi="Times New Roman" w:cs="Times New Roman"/>
          <w:sz w:val="24"/>
          <w:szCs w:val="24"/>
        </w:rPr>
        <w:t>s</w:t>
      </w:r>
      <w:r w:rsidR="00290BC1" w:rsidRPr="00651B82">
        <w:rPr>
          <w:rFonts w:ascii="Times New Roman" w:hAnsi="Times New Roman" w:cs="Times New Roman"/>
          <w:sz w:val="24"/>
          <w:szCs w:val="24"/>
        </w:rPr>
        <w:t xml:space="preserve"> de forma geral</w:t>
      </w:r>
      <w:r w:rsidR="00E6473C" w:rsidRPr="00651B82">
        <w:rPr>
          <w:rFonts w:ascii="Times New Roman" w:hAnsi="Times New Roman" w:cs="Times New Roman"/>
          <w:sz w:val="24"/>
          <w:szCs w:val="24"/>
        </w:rPr>
        <w:t xml:space="preserve"> através do índice de aprovação</w:t>
      </w:r>
      <w:r w:rsidR="00290BC1" w:rsidRPr="00651B82">
        <w:rPr>
          <w:rFonts w:ascii="Times New Roman" w:hAnsi="Times New Roman" w:cs="Times New Roman"/>
          <w:sz w:val="24"/>
          <w:szCs w:val="24"/>
        </w:rPr>
        <w:t>.</w:t>
      </w:r>
      <w:r w:rsidR="00EA1247">
        <w:rPr>
          <w:rFonts w:ascii="Times New Roman" w:hAnsi="Times New Roman" w:cs="Times New Roman"/>
          <w:sz w:val="24"/>
          <w:szCs w:val="24"/>
        </w:rPr>
        <w:t xml:space="preserve"> Por fim</w:t>
      </w:r>
      <w:r w:rsidR="00290BC1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EA1247">
        <w:rPr>
          <w:rFonts w:ascii="Times New Roman" w:hAnsi="Times New Roman" w:cs="Times New Roman"/>
          <w:sz w:val="24"/>
          <w:szCs w:val="24"/>
        </w:rPr>
        <w:t>a</w:t>
      </w:r>
      <w:r w:rsidR="008213D4" w:rsidRPr="00651B82">
        <w:rPr>
          <w:rFonts w:ascii="Times New Roman" w:hAnsi="Times New Roman" w:cs="Times New Roman"/>
          <w:sz w:val="24"/>
          <w:szCs w:val="24"/>
        </w:rPr>
        <w:t>s</w:t>
      </w:r>
      <w:r w:rsidR="00290BC1" w:rsidRPr="00651B82">
        <w:rPr>
          <w:rFonts w:ascii="Times New Roman" w:hAnsi="Times New Roman" w:cs="Times New Roman"/>
          <w:sz w:val="24"/>
          <w:szCs w:val="24"/>
        </w:rPr>
        <w:t xml:space="preserve"> atividade</w:t>
      </w:r>
      <w:r w:rsidR="008213D4" w:rsidRPr="00651B82">
        <w:rPr>
          <w:rFonts w:ascii="Times New Roman" w:hAnsi="Times New Roman" w:cs="Times New Roman"/>
          <w:sz w:val="24"/>
          <w:szCs w:val="24"/>
        </w:rPr>
        <w:t>s</w:t>
      </w:r>
      <w:r w:rsidR="00290BC1" w:rsidRPr="00651B82">
        <w:rPr>
          <w:rFonts w:ascii="Times New Roman" w:hAnsi="Times New Roman" w:cs="Times New Roman"/>
          <w:sz w:val="24"/>
          <w:szCs w:val="24"/>
        </w:rPr>
        <w:t xml:space="preserve"> de monitoria </w:t>
      </w:r>
      <w:r w:rsidR="008213D4" w:rsidRPr="00651B82">
        <w:rPr>
          <w:rFonts w:ascii="Times New Roman" w:hAnsi="Times New Roman" w:cs="Times New Roman"/>
          <w:sz w:val="24"/>
          <w:szCs w:val="24"/>
        </w:rPr>
        <w:t xml:space="preserve">contribuíram </w:t>
      </w:r>
      <w:r w:rsidR="00290BC1" w:rsidRPr="00651B82">
        <w:rPr>
          <w:rFonts w:ascii="Times New Roman" w:hAnsi="Times New Roman" w:cs="Times New Roman"/>
          <w:sz w:val="24"/>
          <w:szCs w:val="24"/>
        </w:rPr>
        <w:t>para</w:t>
      </w:r>
      <w:r w:rsidR="00EA1247">
        <w:rPr>
          <w:rFonts w:ascii="Times New Roman" w:hAnsi="Times New Roman" w:cs="Times New Roman"/>
          <w:sz w:val="24"/>
          <w:szCs w:val="24"/>
        </w:rPr>
        <w:t xml:space="preserve"> o</w:t>
      </w:r>
      <w:r w:rsidR="00B773E2">
        <w:rPr>
          <w:rFonts w:ascii="Times New Roman" w:hAnsi="Times New Roman" w:cs="Times New Roman"/>
          <w:sz w:val="24"/>
          <w:szCs w:val="24"/>
        </w:rPr>
        <w:t xml:space="preserve"> coeficiente </w:t>
      </w:r>
      <w:r w:rsidR="00290BC1" w:rsidRPr="00651B82">
        <w:rPr>
          <w:rFonts w:ascii="Times New Roman" w:hAnsi="Times New Roman" w:cs="Times New Roman"/>
          <w:sz w:val="24"/>
          <w:szCs w:val="24"/>
        </w:rPr>
        <w:t>de ap</w:t>
      </w:r>
      <w:r w:rsidR="00B773E2">
        <w:rPr>
          <w:rFonts w:ascii="Times New Roman" w:hAnsi="Times New Roman" w:cs="Times New Roman"/>
          <w:sz w:val="24"/>
          <w:szCs w:val="24"/>
        </w:rPr>
        <w:t>rovação dos alunos na disciplina,</w:t>
      </w:r>
      <w:r w:rsidR="008213D4" w:rsidRPr="00651B82">
        <w:rPr>
          <w:rFonts w:ascii="Times New Roman" w:hAnsi="Times New Roman" w:cs="Times New Roman"/>
          <w:sz w:val="24"/>
          <w:szCs w:val="24"/>
        </w:rPr>
        <w:t xml:space="preserve"> que foi de</w:t>
      </w:r>
      <w:r w:rsidR="00290BC1" w:rsidRPr="00651B82">
        <w:rPr>
          <w:rFonts w:ascii="Times New Roman" w:hAnsi="Times New Roman" w:cs="Times New Roman"/>
          <w:sz w:val="24"/>
          <w:szCs w:val="24"/>
        </w:rPr>
        <w:t xml:space="preserve"> </w:t>
      </w:r>
      <w:r w:rsidR="00750CB2">
        <w:rPr>
          <w:rFonts w:ascii="Times New Roman" w:hAnsi="Times New Roman" w:cs="Times New Roman"/>
          <w:sz w:val="24"/>
          <w:szCs w:val="24"/>
        </w:rPr>
        <w:t xml:space="preserve">39% e 58% </w:t>
      </w:r>
      <w:r w:rsidR="00326A20">
        <w:rPr>
          <w:rFonts w:ascii="Times New Roman" w:hAnsi="Times New Roman" w:cs="Times New Roman"/>
          <w:sz w:val="24"/>
          <w:szCs w:val="24"/>
        </w:rPr>
        <w:t>(F</w:t>
      </w:r>
      <w:r w:rsidR="005142AE">
        <w:rPr>
          <w:rFonts w:ascii="Times New Roman" w:hAnsi="Times New Roman" w:cs="Times New Roman"/>
          <w:sz w:val="24"/>
          <w:szCs w:val="24"/>
        </w:rPr>
        <w:t>igura</w:t>
      </w:r>
      <w:r w:rsidR="00750CB2">
        <w:rPr>
          <w:rFonts w:ascii="Times New Roman" w:hAnsi="Times New Roman" w:cs="Times New Roman"/>
          <w:sz w:val="24"/>
          <w:szCs w:val="24"/>
        </w:rPr>
        <w:t>s</w:t>
      </w:r>
      <w:r w:rsidR="00CA570C">
        <w:rPr>
          <w:rFonts w:ascii="Times New Roman" w:hAnsi="Times New Roman" w:cs="Times New Roman"/>
          <w:sz w:val="24"/>
          <w:szCs w:val="24"/>
        </w:rPr>
        <w:t xml:space="preserve"> </w:t>
      </w:r>
      <w:r w:rsidR="005142AE">
        <w:rPr>
          <w:rFonts w:ascii="Times New Roman" w:hAnsi="Times New Roman" w:cs="Times New Roman"/>
          <w:sz w:val="24"/>
          <w:szCs w:val="24"/>
        </w:rPr>
        <w:t>5</w:t>
      </w:r>
      <w:r w:rsidR="00750CB2">
        <w:rPr>
          <w:rFonts w:ascii="Times New Roman" w:hAnsi="Times New Roman" w:cs="Times New Roman"/>
          <w:sz w:val="24"/>
          <w:szCs w:val="24"/>
        </w:rPr>
        <w:t xml:space="preserve"> e 6</w:t>
      </w:r>
      <w:r w:rsidR="00326A20">
        <w:rPr>
          <w:rFonts w:ascii="Times New Roman" w:hAnsi="Times New Roman" w:cs="Times New Roman"/>
          <w:sz w:val="24"/>
          <w:szCs w:val="24"/>
        </w:rPr>
        <w:t>)</w:t>
      </w:r>
      <w:r w:rsidR="00750CB2">
        <w:rPr>
          <w:rFonts w:ascii="Times New Roman" w:hAnsi="Times New Roman" w:cs="Times New Roman"/>
          <w:sz w:val="24"/>
          <w:szCs w:val="24"/>
        </w:rPr>
        <w:t>.</w:t>
      </w:r>
    </w:p>
    <w:p w:rsidR="00157E1F" w:rsidRPr="00651B82" w:rsidRDefault="002C337B" w:rsidP="00670FC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576D633" wp14:editId="0B041209">
            <wp:extent cx="5724525" cy="16573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6252" w:rsidRPr="00750CB2" w:rsidRDefault="00651B82" w:rsidP="00407E18">
      <w:pPr>
        <w:pStyle w:val="Legenda"/>
        <w:spacing w:after="0" w:line="360" w:lineRule="auto"/>
        <w:rPr>
          <w:rFonts w:ascii="Times New Roman" w:hAnsi="Times New Roman"/>
          <w:b w:val="0"/>
          <w:noProof/>
          <w:color w:val="auto"/>
          <w:sz w:val="20"/>
          <w:szCs w:val="20"/>
        </w:rPr>
      </w:pPr>
      <w:r w:rsidRPr="00BB3F6B">
        <w:rPr>
          <w:rFonts w:ascii="Times New Roman" w:hAnsi="Times New Roman"/>
          <w:b w:val="0"/>
          <w:color w:val="auto"/>
          <w:sz w:val="20"/>
          <w:szCs w:val="20"/>
        </w:rPr>
        <w:lastRenderedPageBreak/>
        <w:t xml:space="preserve">Figura </w:t>
      </w:r>
      <w:r w:rsidR="005142AE">
        <w:rPr>
          <w:rFonts w:ascii="Times New Roman" w:hAnsi="Times New Roman"/>
          <w:b w:val="0"/>
          <w:color w:val="auto"/>
          <w:sz w:val="20"/>
          <w:szCs w:val="20"/>
        </w:rPr>
        <w:t>5</w:t>
      </w:r>
      <w:r w:rsidR="00C61815">
        <w:rPr>
          <w:rFonts w:ascii="Times New Roman" w:hAnsi="Times New Roman"/>
          <w:b w:val="0"/>
          <w:color w:val="auto"/>
          <w:sz w:val="20"/>
          <w:szCs w:val="20"/>
        </w:rPr>
        <w:t xml:space="preserve"> - Índice de aprovação na disciplina</w:t>
      </w:r>
      <w:r w:rsidRPr="00BB3F6B">
        <w:rPr>
          <w:rFonts w:ascii="Times New Roman" w:hAnsi="Times New Roman"/>
          <w:b w:val="0"/>
          <w:color w:val="auto"/>
          <w:sz w:val="20"/>
          <w:szCs w:val="20"/>
        </w:rPr>
        <w:t xml:space="preserve"> de estatística </w:t>
      </w:r>
      <w:r w:rsidRPr="00BB3F6B">
        <w:rPr>
          <w:rFonts w:ascii="Times New Roman" w:hAnsi="Times New Roman"/>
          <w:b w:val="0"/>
          <w:noProof/>
          <w:color w:val="auto"/>
          <w:sz w:val="20"/>
          <w:szCs w:val="20"/>
        </w:rPr>
        <w:t>com a monitoria</w:t>
      </w:r>
      <w:r w:rsidR="00750CB2">
        <w:rPr>
          <w:rFonts w:ascii="Times New Roman" w:hAnsi="Times New Roman"/>
          <w:b w:val="0"/>
          <w:noProof/>
          <w:color w:val="auto"/>
          <w:sz w:val="20"/>
          <w:szCs w:val="20"/>
        </w:rPr>
        <w:t xml:space="preserve"> em 2012.2.</w:t>
      </w:r>
    </w:p>
    <w:p w:rsidR="00157E1F" w:rsidRDefault="00651B82" w:rsidP="00BA6176">
      <w:pPr>
        <w:pStyle w:val="Legenda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51B82">
        <w:rPr>
          <w:rFonts w:ascii="Times New Roman" w:hAnsi="Times New Roman"/>
          <w:sz w:val="24"/>
          <w:szCs w:val="24"/>
        </w:rPr>
        <w:tab/>
      </w:r>
      <w:r w:rsidR="00C76252">
        <w:rPr>
          <w:noProof/>
          <w:lang w:eastAsia="pt-BR"/>
        </w:rPr>
        <w:drawing>
          <wp:inline distT="0" distB="0" distL="0" distR="0" wp14:anchorId="083F7BBA" wp14:editId="067A3B88">
            <wp:extent cx="5181600" cy="166687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0CB2" w:rsidRPr="00750CB2" w:rsidRDefault="008F3EFE" w:rsidP="00BA6176">
      <w:pPr>
        <w:spacing w:line="360" w:lineRule="auto"/>
      </w:pPr>
      <w:r w:rsidRPr="00BB3F6B">
        <w:rPr>
          <w:rFonts w:ascii="Times New Roman" w:hAnsi="Times New Roman"/>
          <w:sz w:val="20"/>
          <w:szCs w:val="20"/>
        </w:rPr>
        <w:t xml:space="preserve">Figura </w:t>
      </w:r>
      <w:r>
        <w:rPr>
          <w:rFonts w:ascii="Times New Roman" w:hAnsi="Times New Roman"/>
          <w:sz w:val="20"/>
          <w:szCs w:val="20"/>
        </w:rPr>
        <w:t>6 - Índice de aprovação na disciplina</w:t>
      </w:r>
      <w:r w:rsidRPr="00BB3F6B">
        <w:rPr>
          <w:rFonts w:ascii="Times New Roman" w:hAnsi="Times New Roman"/>
          <w:sz w:val="20"/>
          <w:szCs w:val="20"/>
        </w:rPr>
        <w:t xml:space="preserve"> de estatística </w:t>
      </w:r>
      <w:r w:rsidRPr="00BB3F6B">
        <w:rPr>
          <w:rFonts w:ascii="Times New Roman" w:hAnsi="Times New Roman"/>
          <w:noProof/>
          <w:sz w:val="20"/>
          <w:szCs w:val="20"/>
        </w:rPr>
        <w:t>com a monitoria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em 2013.1.</w:t>
      </w:r>
    </w:p>
    <w:p w:rsidR="007661FD" w:rsidRPr="00BA6176" w:rsidRDefault="00753A87" w:rsidP="00BA61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 </w:t>
      </w:r>
      <w:r w:rsidR="00172430" w:rsidRPr="00172430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407E18" w:rsidRDefault="007270B4" w:rsidP="00BA61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05D0">
        <w:rPr>
          <w:rFonts w:ascii="Times New Roman" w:hAnsi="Times New Roman" w:cs="Times New Roman"/>
          <w:sz w:val="24"/>
          <w:szCs w:val="24"/>
        </w:rPr>
        <w:t xml:space="preserve"> </w:t>
      </w:r>
      <w:r w:rsidR="00BB3F6B" w:rsidRPr="007830EE">
        <w:rPr>
          <w:rFonts w:ascii="Times New Roman" w:hAnsi="Times New Roman" w:cs="Times New Roman"/>
          <w:sz w:val="24"/>
          <w:szCs w:val="24"/>
        </w:rPr>
        <w:t>As atividades de monitoria</w:t>
      </w:r>
      <w:r w:rsidR="0060466D">
        <w:rPr>
          <w:rFonts w:ascii="Times New Roman" w:hAnsi="Times New Roman" w:cs="Times New Roman"/>
          <w:sz w:val="24"/>
          <w:szCs w:val="24"/>
        </w:rPr>
        <w:t xml:space="preserve"> referentes ao período 2012.2</w:t>
      </w:r>
      <w:r w:rsidR="00BB3F6B" w:rsidRPr="007830EE">
        <w:rPr>
          <w:rFonts w:ascii="Times New Roman" w:hAnsi="Times New Roman" w:cs="Times New Roman"/>
          <w:sz w:val="24"/>
          <w:szCs w:val="24"/>
        </w:rPr>
        <w:t xml:space="preserve"> obtiveram resultados satisfatórios</w:t>
      </w:r>
      <w:r w:rsidR="007661FD" w:rsidRPr="007830EE">
        <w:rPr>
          <w:rFonts w:ascii="Times New Roman" w:hAnsi="Times New Roman" w:cs="Times New Roman"/>
          <w:sz w:val="24"/>
          <w:szCs w:val="24"/>
        </w:rPr>
        <w:t xml:space="preserve"> avaliando</w:t>
      </w:r>
      <w:r w:rsidR="006C5577" w:rsidRPr="007830EE">
        <w:rPr>
          <w:rFonts w:ascii="Times New Roman" w:hAnsi="Times New Roman" w:cs="Times New Roman"/>
          <w:sz w:val="24"/>
          <w:szCs w:val="24"/>
        </w:rPr>
        <w:t xml:space="preserve"> que o </w:t>
      </w:r>
      <w:r w:rsidR="007661FD" w:rsidRPr="007830EE">
        <w:rPr>
          <w:rFonts w:ascii="Times New Roman" w:hAnsi="Times New Roman" w:cs="Times New Roman"/>
          <w:sz w:val="24"/>
          <w:szCs w:val="24"/>
        </w:rPr>
        <w:t>índice</w:t>
      </w:r>
      <w:r w:rsidR="006C5577" w:rsidRPr="007830EE">
        <w:rPr>
          <w:rFonts w:ascii="Times New Roman" w:hAnsi="Times New Roman" w:cs="Times New Roman"/>
          <w:sz w:val="24"/>
          <w:szCs w:val="24"/>
        </w:rPr>
        <w:t xml:space="preserve"> de aprovação </w:t>
      </w:r>
      <w:r w:rsidR="007661FD" w:rsidRPr="007830EE">
        <w:rPr>
          <w:rFonts w:ascii="Times New Roman" w:hAnsi="Times New Roman" w:cs="Times New Roman"/>
          <w:sz w:val="24"/>
          <w:szCs w:val="24"/>
        </w:rPr>
        <w:t>foi superior ao de reprovação. Basea</w:t>
      </w:r>
      <w:r>
        <w:rPr>
          <w:rFonts w:ascii="Times New Roman" w:hAnsi="Times New Roman" w:cs="Times New Roman"/>
          <w:sz w:val="24"/>
          <w:szCs w:val="24"/>
        </w:rPr>
        <w:t xml:space="preserve">ndo-se no indicie </w:t>
      </w:r>
      <w:r w:rsidR="00753A87">
        <w:rPr>
          <w:rFonts w:ascii="Times New Roman" w:hAnsi="Times New Roman" w:cs="Times New Roman"/>
          <w:sz w:val="24"/>
          <w:szCs w:val="24"/>
        </w:rPr>
        <w:t xml:space="preserve">do total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7661FD" w:rsidRPr="007830EE">
        <w:rPr>
          <w:rFonts w:ascii="Times New Roman" w:hAnsi="Times New Roman" w:cs="Times New Roman"/>
          <w:sz w:val="24"/>
          <w:szCs w:val="24"/>
        </w:rPr>
        <w:t xml:space="preserve"> alunos que permaneceram nas atividades da disciplina</w:t>
      </w:r>
      <w:r w:rsidR="007830EE" w:rsidRPr="007830EE">
        <w:rPr>
          <w:rFonts w:ascii="Times New Roman" w:hAnsi="Times New Roman" w:cs="Times New Roman"/>
          <w:sz w:val="24"/>
          <w:szCs w:val="24"/>
        </w:rPr>
        <w:t xml:space="preserve"> bem como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830EE" w:rsidRPr="007830EE">
        <w:rPr>
          <w:rFonts w:ascii="Times New Roman" w:hAnsi="Times New Roman" w:cs="Times New Roman"/>
          <w:sz w:val="24"/>
          <w:szCs w:val="24"/>
        </w:rPr>
        <w:t>as de monitoria ate o termino do período</w:t>
      </w:r>
      <w:r w:rsidR="007661FD" w:rsidRPr="007830EE">
        <w:rPr>
          <w:rFonts w:ascii="Times New Roman" w:hAnsi="Times New Roman" w:cs="Times New Roman"/>
          <w:sz w:val="24"/>
          <w:szCs w:val="24"/>
        </w:rPr>
        <w:t>.</w:t>
      </w:r>
    </w:p>
    <w:p w:rsidR="003427AC" w:rsidRDefault="007270B4" w:rsidP="00BA61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05D0">
        <w:rPr>
          <w:rFonts w:ascii="Times New Roman" w:hAnsi="Times New Roman" w:cs="Times New Roman"/>
          <w:sz w:val="24"/>
          <w:szCs w:val="24"/>
        </w:rPr>
        <w:t xml:space="preserve"> </w:t>
      </w:r>
      <w:r w:rsidR="000D4110">
        <w:rPr>
          <w:rFonts w:ascii="Times New Roman" w:hAnsi="Times New Roman" w:cs="Times New Roman"/>
          <w:sz w:val="24"/>
          <w:szCs w:val="24"/>
        </w:rPr>
        <w:t>Torna-se visível que os alunos necessitam de um maior acompanhamento das instituições de ensino superior, tendo em</w:t>
      </w:r>
      <w:r w:rsidR="00125105">
        <w:rPr>
          <w:rFonts w:ascii="Times New Roman" w:hAnsi="Times New Roman" w:cs="Times New Roman"/>
          <w:sz w:val="24"/>
          <w:szCs w:val="24"/>
        </w:rPr>
        <w:t xml:space="preserve"> </w:t>
      </w:r>
      <w:r w:rsidR="000D4110">
        <w:rPr>
          <w:rFonts w:ascii="Times New Roman" w:hAnsi="Times New Roman" w:cs="Times New Roman"/>
          <w:sz w:val="24"/>
          <w:szCs w:val="24"/>
        </w:rPr>
        <w:t>vista a</w:t>
      </w:r>
      <w:r w:rsidR="00125105">
        <w:rPr>
          <w:rFonts w:ascii="Times New Roman" w:hAnsi="Times New Roman" w:cs="Times New Roman"/>
          <w:sz w:val="24"/>
          <w:szCs w:val="24"/>
        </w:rPr>
        <w:t>s</w:t>
      </w:r>
      <w:r w:rsidR="000D4110">
        <w:rPr>
          <w:rFonts w:ascii="Times New Roman" w:hAnsi="Times New Roman" w:cs="Times New Roman"/>
          <w:sz w:val="24"/>
          <w:szCs w:val="24"/>
        </w:rPr>
        <w:t xml:space="preserve"> </w:t>
      </w:r>
      <w:r w:rsidR="00125105">
        <w:rPr>
          <w:rFonts w:ascii="Times New Roman" w:hAnsi="Times New Roman" w:cs="Times New Roman"/>
          <w:sz w:val="24"/>
          <w:szCs w:val="24"/>
        </w:rPr>
        <w:t>evasões</w:t>
      </w:r>
      <w:r w:rsidR="000D4110">
        <w:rPr>
          <w:rFonts w:ascii="Times New Roman" w:hAnsi="Times New Roman" w:cs="Times New Roman"/>
          <w:sz w:val="24"/>
          <w:szCs w:val="24"/>
        </w:rPr>
        <w:t xml:space="preserve"> acentuada</w:t>
      </w:r>
      <w:r w:rsidR="00125105">
        <w:rPr>
          <w:rFonts w:ascii="Times New Roman" w:hAnsi="Times New Roman" w:cs="Times New Roman"/>
          <w:sz w:val="24"/>
          <w:szCs w:val="24"/>
        </w:rPr>
        <w:t>s</w:t>
      </w:r>
      <w:r w:rsidR="00C95129">
        <w:rPr>
          <w:rFonts w:ascii="Times New Roman" w:hAnsi="Times New Roman" w:cs="Times New Roman"/>
          <w:sz w:val="24"/>
          <w:szCs w:val="24"/>
        </w:rPr>
        <w:t xml:space="preserve"> dos mesmos nas disciplinas, principalmente de cálculos.</w:t>
      </w:r>
    </w:p>
    <w:p w:rsidR="00A96CCF" w:rsidRDefault="007205D0" w:rsidP="00CA57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C61815">
        <w:rPr>
          <w:rFonts w:ascii="Times New Roman" w:hAnsi="Times New Roman" w:cs="Times New Roman"/>
          <w:sz w:val="24"/>
          <w:szCs w:val="24"/>
        </w:rPr>
        <w:t>A</w:t>
      </w:r>
      <w:r w:rsidR="008352D4">
        <w:rPr>
          <w:rFonts w:ascii="Times New Roman" w:hAnsi="Times New Roman" w:cs="Times New Roman"/>
          <w:sz w:val="24"/>
          <w:szCs w:val="24"/>
        </w:rPr>
        <w:t xml:space="preserve"> </w:t>
      </w:r>
      <w:r w:rsidR="00C61815">
        <w:rPr>
          <w:rFonts w:ascii="Times New Roman" w:hAnsi="Times New Roman" w:cs="Times New Roman"/>
          <w:sz w:val="24"/>
          <w:szCs w:val="24"/>
        </w:rPr>
        <w:t>atividade</w:t>
      </w:r>
      <w:r w:rsidR="00E34232">
        <w:rPr>
          <w:rFonts w:ascii="Times New Roman" w:hAnsi="Times New Roman" w:cs="Times New Roman"/>
          <w:sz w:val="24"/>
          <w:szCs w:val="24"/>
        </w:rPr>
        <w:t xml:space="preserve"> de monitoria</w:t>
      </w:r>
      <w:r w:rsidR="007E775F">
        <w:rPr>
          <w:rFonts w:ascii="Times New Roman" w:hAnsi="Times New Roman" w:cs="Times New Roman"/>
          <w:sz w:val="24"/>
          <w:szCs w:val="24"/>
        </w:rPr>
        <w:t xml:space="preserve"> é</w:t>
      </w:r>
      <w:r w:rsidR="00C95129">
        <w:rPr>
          <w:rFonts w:ascii="Times New Roman" w:hAnsi="Times New Roman" w:cs="Times New Roman"/>
          <w:sz w:val="24"/>
          <w:szCs w:val="24"/>
        </w:rPr>
        <w:t xml:space="preserve"> uma via bilateral,</w:t>
      </w:r>
      <w:r w:rsidR="00C61815">
        <w:rPr>
          <w:rFonts w:ascii="Times New Roman" w:hAnsi="Times New Roman" w:cs="Times New Roman"/>
          <w:sz w:val="24"/>
          <w:szCs w:val="24"/>
        </w:rPr>
        <w:t xml:space="preserve"> permitindo benefícios tanto para o aluno discente quanto para o aluno docente (monitor)</w:t>
      </w:r>
      <w:r w:rsidR="00407E18">
        <w:rPr>
          <w:rFonts w:ascii="Times New Roman" w:hAnsi="Times New Roman" w:cs="Times New Roman"/>
          <w:sz w:val="24"/>
          <w:szCs w:val="24"/>
        </w:rPr>
        <w:t>.</w:t>
      </w:r>
    </w:p>
    <w:p w:rsidR="003427AC" w:rsidRPr="007C1A90" w:rsidRDefault="0056513F" w:rsidP="00CA57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3F">
        <w:rPr>
          <w:rFonts w:ascii="Times New Roman" w:hAnsi="Times New Roman" w:cs="Times New Roman"/>
          <w:b/>
          <w:sz w:val="24"/>
          <w:szCs w:val="24"/>
        </w:rPr>
        <w:t>5.</w:t>
      </w:r>
      <w:r w:rsidR="007C1A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513F">
        <w:rPr>
          <w:rFonts w:ascii="Times New Roman" w:hAnsi="Times New Roman" w:cs="Times New Roman"/>
          <w:b/>
          <w:sz w:val="24"/>
          <w:szCs w:val="24"/>
        </w:rPr>
        <w:t xml:space="preserve">REFERENCIAS </w:t>
      </w:r>
      <w:r w:rsidR="005F7F8D">
        <w:rPr>
          <w:rFonts w:ascii="Times New Roman" w:hAnsi="Times New Roman" w:cs="Times New Roman"/>
          <w:b/>
          <w:sz w:val="24"/>
          <w:szCs w:val="24"/>
        </w:rPr>
        <w:t>BIBLIOGRÁFICAS</w:t>
      </w:r>
      <w:bookmarkStart w:id="0" w:name="_GoBack"/>
      <w:bookmarkEnd w:id="0"/>
    </w:p>
    <w:p w:rsidR="00D5187A" w:rsidRPr="00D5187A" w:rsidRDefault="00D5187A" w:rsidP="00D518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87A">
        <w:rPr>
          <w:rFonts w:ascii="Times New Roman" w:hAnsi="Times New Roman" w:cs="Times New Roman"/>
          <w:sz w:val="24"/>
          <w:szCs w:val="24"/>
        </w:rPr>
        <w:t xml:space="preserve">NANNI, </w:t>
      </w:r>
      <w:proofErr w:type="gramStart"/>
      <w:r w:rsidRPr="00D5187A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D5187A">
        <w:rPr>
          <w:rFonts w:ascii="Times New Roman" w:hAnsi="Times New Roman" w:cs="Times New Roman"/>
          <w:sz w:val="24"/>
          <w:szCs w:val="24"/>
        </w:rPr>
        <w:t xml:space="preserve"> A natureza do conhecimento científico e a experimentação no ensino de ciência. </w:t>
      </w:r>
      <w:r w:rsidRPr="00D5187A">
        <w:rPr>
          <w:rFonts w:ascii="Times New Roman" w:hAnsi="Times New Roman" w:cs="Times New Roman"/>
          <w:b/>
          <w:bCs/>
          <w:sz w:val="24"/>
          <w:szCs w:val="24"/>
        </w:rPr>
        <w:t>Revista Eletrônica de Ciências</w:t>
      </w:r>
      <w:r w:rsidRPr="00D5187A">
        <w:rPr>
          <w:rFonts w:ascii="Times New Roman" w:hAnsi="Times New Roman" w:cs="Times New Roman"/>
          <w:sz w:val="24"/>
          <w:szCs w:val="24"/>
        </w:rPr>
        <w:t>: v.26, Maio 2004.</w:t>
      </w:r>
    </w:p>
    <w:p w:rsidR="006926FA" w:rsidRDefault="006926FA" w:rsidP="00D518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6FA">
        <w:rPr>
          <w:rFonts w:ascii="Times New Roman" w:hAnsi="Times New Roman"/>
          <w:sz w:val="24"/>
          <w:szCs w:val="24"/>
        </w:rPr>
        <w:t xml:space="preserve">SALSBURG, D. </w:t>
      </w:r>
      <w:r w:rsidRPr="00E51F58">
        <w:rPr>
          <w:rFonts w:ascii="Times New Roman" w:hAnsi="Times New Roman"/>
          <w:b/>
          <w:sz w:val="24"/>
          <w:szCs w:val="24"/>
        </w:rPr>
        <w:t>UMA SENHORA TOMA CHÁ...:</w:t>
      </w:r>
      <w:r w:rsidRPr="006926FA">
        <w:rPr>
          <w:rFonts w:ascii="Times New Roman" w:hAnsi="Times New Roman"/>
          <w:sz w:val="24"/>
          <w:szCs w:val="24"/>
        </w:rPr>
        <w:t xml:space="preserve"> como a estatística revolucionou a ciência no século XX. Trad. de José Maurício </w:t>
      </w:r>
      <w:proofErr w:type="spellStart"/>
      <w:r w:rsidRPr="006926FA">
        <w:rPr>
          <w:rFonts w:ascii="Times New Roman" w:hAnsi="Times New Roman"/>
          <w:sz w:val="24"/>
          <w:szCs w:val="24"/>
        </w:rPr>
        <w:t>Gradel</w:t>
      </w:r>
      <w:proofErr w:type="spellEnd"/>
      <w:r w:rsidRPr="006926FA">
        <w:rPr>
          <w:rFonts w:ascii="Times New Roman" w:hAnsi="Times New Roman"/>
          <w:sz w:val="24"/>
          <w:szCs w:val="24"/>
        </w:rPr>
        <w:t>, revisão técnica Suzana Herculano-</w:t>
      </w:r>
      <w:proofErr w:type="spellStart"/>
      <w:r w:rsidRPr="006926FA">
        <w:rPr>
          <w:rFonts w:ascii="Times New Roman" w:hAnsi="Times New Roman"/>
          <w:sz w:val="24"/>
          <w:szCs w:val="24"/>
        </w:rPr>
        <w:t>Houzel</w:t>
      </w:r>
      <w:proofErr w:type="spellEnd"/>
      <w:r w:rsidRPr="006926FA">
        <w:rPr>
          <w:rFonts w:ascii="Times New Roman" w:hAnsi="Times New Roman"/>
          <w:sz w:val="24"/>
          <w:szCs w:val="24"/>
        </w:rPr>
        <w:t>. Rio de Janeiro: Jorge Zahar, 2009. 286p</w:t>
      </w:r>
    </w:p>
    <w:p w:rsidR="00E51F58" w:rsidRPr="00E51F58" w:rsidRDefault="00E51F58" w:rsidP="00565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167" w:rsidRPr="00E51F58" w:rsidRDefault="008B1167" w:rsidP="00157E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B1167" w:rsidRPr="00651B82" w:rsidRDefault="008B1167" w:rsidP="00157E1F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8B1167" w:rsidRPr="00651B82" w:rsidRDefault="008B1167" w:rsidP="00157E1F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8B1167" w:rsidRPr="00651B82" w:rsidRDefault="008B1167" w:rsidP="00157E1F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8B1167" w:rsidRPr="00651B82" w:rsidRDefault="008B1167" w:rsidP="00157E1F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sectPr w:rsidR="008B1167" w:rsidRPr="00651B82" w:rsidSect="009C550C">
      <w:headerReference w:type="default" r:id="rId15"/>
      <w:footerReference w:type="default" r:id="rId16"/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C5" w:rsidRDefault="005C5CC5" w:rsidP="000464FA">
      <w:pPr>
        <w:spacing w:after="0" w:line="240" w:lineRule="auto"/>
      </w:pPr>
      <w:r>
        <w:separator/>
      </w:r>
    </w:p>
  </w:endnote>
  <w:endnote w:type="continuationSeparator" w:id="0">
    <w:p w:rsidR="005C5CC5" w:rsidRDefault="005C5CC5" w:rsidP="0004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122384"/>
      <w:docPartObj>
        <w:docPartGallery w:val="Page Numbers (Bottom of Page)"/>
        <w:docPartUnique/>
      </w:docPartObj>
    </w:sdtPr>
    <w:sdtEndPr/>
    <w:sdtContent>
      <w:p w:rsidR="001C5C40" w:rsidRDefault="001C5C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B1">
          <w:rPr>
            <w:noProof/>
          </w:rPr>
          <w:t>1</w:t>
        </w:r>
        <w:r>
          <w:fldChar w:fldCharType="end"/>
        </w:r>
      </w:p>
    </w:sdtContent>
  </w:sdt>
  <w:p w:rsidR="00417F87" w:rsidRDefault="00417F87" w:rsidP="00EB405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C5" w:rsidRDefault="005C5CC5" w:rsidP="000464FA">
      <w:pPr>
        <w:spacing w:after="0" w:line="240" w:lineRule="auto"/>
      </w:pPr>
      <w:r>
        <w:separator/>
      </w:r>
    </w:p>
  </w:footnote>
  <w:footnote w:type="continuationSeparator" w:id="0">
    <w:p w:rsidR="005C5CC5" w:rsidRDefault="005C5CC5" w:rsidP="0004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A1" w:rsidRDefault="00BF3DA1">
    <w:pPr>
      <w:pStyle w:val="Cabealho"/>
      <w:jc w:val="right"/>
    </w:pPr>
  </w:p>
  <w:p w:rsidR="00BF3DA1" w:rsidRDefault="00BF3D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306"/>
    <w:multiLevelType w:val="hybridMultilevel"/>
    <w:tmpl w:val="0C1C0226"/>
    <w:lvl w:ilvl="0" w:tplc="04D256A2">
      <w:start w:val="3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2522A8"/>
    <w:multiLevelType w:val="hybridMultilevel"/>
    <w:tmpl w:val="D24082C8"/>
    <w:lvl w:ilvl="0" w:tplc="A89A9F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64125"/>
    <w:multiLevelType w:val="hybridMultilevel"/>
    <w:tmpl w:val="3920EA92"/>
    <w:lvl w:ilvl="0" w:tplc="A710BC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2661"/>
    <w:multiLevelType w:val="hybridMultilevel"/>
    <w:tmpl w:val="DD220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F6BA6"/>
    <w:multiLevelType w:val="hybridMultilevel"/>
    <w:tmpl w:val="263C4B72"/>
    <w:lvl w:ilvl="0" w:tplc="0416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5">
    <w:nsid w:val="284F0EDB"/>
    <w:multiLevelType w:val="hybridMultilevel"/>
    <w:tmpl w:val="0B7E4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F59"/>
    <w:multiLevelType w:val="hybridMultilevel"/>
    <w:tmpl w:val="D37A79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00262"/>
    <w:multiLevelType w:val="hybridMultilevel"/>
    <w:tmpl w:val="DCBA5E02"/>
    <w:lvl w:ilvl="0" w:tplc="616038C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5" w:hanging="360"/>
      </w:pPr>
    </w:lvl>
    <w:lvl w:ilvl="2" w:tplc="0416001B" w:tentative="1">
      <w:start w:val="1"/>
      <w:numFmt w:val="lowerRoman"/>
      <w:lvlText w:val="%3."/>
      <w:lvlJc w:val="right"/>
      <w:pPr>
        <w:ind w:left="1865" w:hanging="180"/>
      </w:pPr>
    </w:lvl>
    <w:lvl w:ilvl="3" w:tplc="0416000F" w:tentative="1">
      <w:start w:val="1"/>
      <w:numFmt w:val="decimal"/>
      <w:lvlText w:val="%4."/>
      <w:lvlJc w:val="left"/>
      <w:pPr>
        <w:ind w:left="2585" w:hanging="360"/>
      </w:pPr>
    </w:lvl>
    <w:lvl w:ilvl="4" w:tplc="04160019" w:tentative="1">
      <w:start w:val="1"/>
      <w:numFmt w:val="lowerLetter"/>
      <w:lvlText w:val="%5."/>
      <w:lvlJc w:val="left"/>
      <w:pPr>
        <w:ind w:left="3305" w:hanging="360"/>
      </w:pPr>
    </w:lvl>
    <w:lvl w:ilvl="5" w:tplc="0416001B" w:tentative="1">
      <w:start w:val="1"/>
      <w:numFmt w:val="lowerRoman"/>
      <w:lvlText w:val="%6."/>
      <w:lvlJc w:val="right"/>
      <w:pPr>
        <w:ind w:left="4025" w:hanging="180"/>
      </w:pPr>
    </w:lvl>
    <w:lvl w:ilvl="6" w:tplc="0416000F" w:tentative="1">
      <w:start w:val="1"/>
      <w:numFmt w:val="decimal"/>
      <w:lvlText w:val="%7."/>
      <w:lvlJc w:val="left"/>
      <w:pPr>
        <w:ind w:left="4745" w:hanging="360"/>
      </w:pPr>
    </w:lvl>
    <w:lvl w:ilvl="7" w:tplc="04160019" w:tentative="1">
      <w:start w:val="1"/>
      <w:numFmt w:val="lowerLetter"/>
      <w:lvlText w:val="%8."/>
      <w:lvlJc w:val="left"/>
      <w:pPr>
        <w:ind w:left="5465" w:hanging="360"/>
      </w:pPr>
    </w:lvl>
    <w:lvl w:ilvl="8" w:tplc="0416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>
    <w:nsid w:val="48CE4C3A"/>
    <w:multiLevelType w:val="hybridMultilevel"/>
    <w:tmpl w:val="84843C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856"/>
    <w:multiLevelType w:val="hybridMultilevel"/>
    <w:tmpl w:val="BD0630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E3268"/>
    <w:multiLevelType w:val="hybridMultilevel"/>
    <w:tmpl w:val="10D40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A1442"/>
    <w:multiLevelType w:val="hybridMultilevel"/>
    <w:tmpl w:val="3B2A4B76"/>
    <w:lvl w:ilvl="0" w:tplc="5ACEF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4717E"/>
    <w:multiLevelType w:val="hybridMultilevel"/>
    <w:tmpl w:val="A24CE634"/>
    <w:lvl w:ilvl="0" w:tplc="049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1F"/>
    <w:rsid w:val="0000782C"/>
    <w:rsid w:val="00012CB3"/>
    <w:rsid w:val="00014384"/>
    <w:rsid w:val="00023132"/>
    <w:rsid w:val="00027F76"/>
    <w:rsid w:val="000324A4"/>
    <w:rsid w:val="0003308D"/>
    <w:rsid w:val="000341F3"/>
    <w:rsid w:val="00037B21"/>
    <w:rsid w:val="000451E0"/>
    <w:rsid w:val="000464FA"/>
    <w:rsid w:val="00083FB6"/>
    <w:rsid w:val="00090237"/>
    <w:rsid w:val="000A2753"/>
    <w:rsid w:val="000A29DA"/>
    <w:rsid w:val="000A54CE"/>
    <w:rsid w:val="000B0C2F"/>
    <w:rsid w:val="000C6EEC"/>
    <w:rsid w:val="000D00D4"/>
    <w:rsid w:val="000D4110"/>
    <w:rsid w:val="000D55A2"/>
    <w:rsid w:val="000E2F60"/>
    <w:rsid w:val="000E5354"/>
    <w:rsid w:val="000F1B30"/>
    <w:rsid w:val="000F2925"/>
    <w:rsid w:val="000F5897"/>
    <w:rsid w:val="001074E9"/>
    <w:rsid w:val="00112C0B"/>
    <w:rsid w:val="001169D8"/>
    <w:rsid w:val="00125105"/>
    <w:rsid w:val="00133190"/>
    <w:rsid w:val="001366AE"/>
    <w:rsid w:val="00142793"/>
    <w:rsid w:val="00157E1F"/>
    <w:rsid w:val="00165CD3"/>
    <w:rsid w:val="00172430"/>
    <w:rsid w:val="00182F3D"/>
    <w:rsid w:val="00196BE7"/>
    <w:rsid w:val="001C0211"/>
    <w:rsid w:val="001C4714"/>
    <w:rsid w:val="001C4868"/>
    <w:rsid w:val="001C5C40"/>
    <w:rsid w:val="001D761B"/>
    <w:rsid w:val="001F1C44"/>
    <w:rsid w:val="001F311D"/>
    <w:rsid w:val="002144B1"/>
    <w:rsid w:val="00217F21"/>
    <w:rsid w:val="00220B53"/>
    <w:rsid w:val="002232EF"/>
    <w:rsid w:val="00241B3A"/>
    <w:rsid w:val="00257C27"/>
    <w:rsid w:val="00286573"/>
    <w:rsid w:val="00287A60"/>
    <w:rsid w:val="00287C1F"/>
    <w:rsid w:val="00290821"/>
    <w:rsid w:val="00290BC1"/>
    <w:rsid w:val="002B052C"/>
    <w:rsid w:val="002B36ED"/>
    <w:rsid w:val="002B6997"/>
    <w:rsid w:val="002C337B"/>
    <w:rsid w:val="002C39E8"/>
    <w:rsid w:val="002C7C32"/>
    <w:rsid w:val="002D0F36"/>
    <w:rsid w:val="002D1797"/>
    <w:rsid w:val="002D5E5F"/>
    <w:rsid w:val="002D772F"/>
    <w:rsid w:val="002E6081"/>
    <w:rsid w:val="002F2C82"/>
    <w:rsid w:val="002F579B"/>
    <w:rsid w:val="003034F9"/>
    <w:rsid w:val="003072AB"/>
    <w:rsid w:val="0032656A"/>
    <w:rsid w:val="00326A20"/>
    <w:rsid w:val="00331974"/>
    <w:rsid w:val="003427AC"/>
    <w:rsid w:val="00365731"/>
    <w:rsid w:val="0037455E"/>
    <w:rsid w:val="00376F65"/>
    <w:rsid w:val="00386D5C"/>
    <w:rsid w:val="0038766E"/>
    <w:rsid w:val="003B545D"/>
    <w:rsid w:val="003B5EA9"/>
    <w:rsid w:val="003C44B9"/>
    <w:rsid w:val="003D2E93"/>
    <w:rsid w:val="003D5244"/>
    <w:rsid w:val="003F5D0C"/>
    <w:rsid w:val="00407E18"/>
    <w:rsid w:val="004147CA"/>
    <w:rsid w:val="00417F87"/>
    <w:rsid w:val="00427BB0"/>
    <w:rsid w:val="00435A03"/>
    <w:rsid w:val="00436388"/>
    <w:rsid w:val="00436E62"/>
    <w:rsid w:val="00444D82"/>
    <w:rsid w:val="004473F4"/>
    <w:rsid w:val="00451062"/>
    <w:rsid w:val="00463CD2"/>
    <w:rsid w:val="00492F44"/>
    <w:rsid w:val="004C0016"/>
    <w:rsid w:val="004C06D9"/>
    <w:rsid w:val="004C3F8D"/>
    <w:rsid w:val="004F3286"/>
    <w:rsid w:val="00507ABB"/>
    <w:rsid w:val="00512A0B"/>
    <w:rsid w:val="005142AE"/>
    <w:rsid w:val="0054428B"/>
    <w:rsid w:val="00547B5A"/>
    <w:rsid w:val="00550A8B"/>
    <w:rsid w:val="0056446A"/>
    <w:rsid w:val="0056513F"/>
    <w:rsid w:val="005656D8"/>
    <w:rsid w:val="00572451"/>
    <w:rsid w:val="00582302"/>
    <w:rsid w:val="005C2E6C"/>
    <w:rsid w:val="005C5CC5"/>
    <w:rsid w:val="005F7F8D"/>
    <w:rsid w:val="006012A7"/>
    <w:rsid w:val="0060466D"/>
    <w:rsid w:val="00623D2B"/>
    <w:rsid w:val="00636D55"/>
    <w:rsid w:val="00647A18"/>
    <w:rsid w:val="00651B82"/>
    <w:rsid w:val="0065230B"/>
    <w:rsid w:val="0065308C"/>
    <w:rsid w:val="00655336"/>
    <w:rsid w:val="0065626F"/>
    <w:rsid w:val="006678A3"/>
    <w:rsid w:val="00670FC1"/>
    <w:rsid w:val="00673488"/>
    <w:rsid w:val="00674B68"/>
    <w:rsid w:val="006775F8"/>
    <w:rsid w:val="0069184D"/>
    <w:rsid w:val="006926FA"/>
    <w:rsid w:val="006B3A6A"/>
    <w:rsid w:val="006B673F"/>
    <w:rsid w:val="006C5577"/>
    <w:rsid w:val="006C5AAD"/>
    <w:rsid w:val="006C7276"/>
    <w:rsid w:val="006D31CA"/>
    <w:rsid w:val="0070138E"/>
    <w:rsid w:val="007205D0"/>
    <w:rsid w:val="00723B4A"/>
    <w:rsid w:val="007270B4"/>
    <w:rsid w:val="00742897"/>
    <w:rsid w:val="00746441"/>
    <w:rsid w:val="00750CB2"/>
    <w:rsid w:val="00751A64"/>
    <w:rsid w:val="00753A87"/>
    <w:rsid w:val="00762A9F"/>
    <w:rsid w:val="00764001"/>
    <w:rsid w:val="007661FD"/>
    <w:rsid w:val="00767FCA"/>
    <w:rsid w:val="00770418"/>
    <w:rsid w:val="00770782"/>
    <w:rsid w:val="007830EE"/>
    <w:rsid w:val="007A48CC"/>
    <w:rsid w:val="007A7EAE"/>
    <w:rsid w:val="007B0CE2"/>
    <w:rsid w:val="007B553E"/>
    <w:rsid w:val="007B5B2E"/>
    <w:rsid w:val="007C1A90"/>
    <w:rsid w:val="007C7784"/>
    <w:rsid w:val="007E775F"/>
    <w:rsid w:val="007F34BB"/>
    <w:rsid w:val="007F3786"/>
    <w:rsid w:val="0080543A"/>
    <w:rsid w:val="00807680"/>
    <w:rsid w:val="00816FE6"/>
    <w:rsid w:val="008179AB"/>
    <w:rsid w:val="008213D4"/>
    <w:rsid w:val="008352D4"/>
    <w:rsid w:val="008359E9"/>
    <w:rsid w:val="00836984"/>
    <w:rsid w:val="00880F94"/>
    <w:rsid w:val="00885D34"/>
    <w:rsid w:val="008A2439"/>
    <w:rsid w:val="008A5763"/>
    <w:rsid w:val="008A74CA"/>
    <w:rsid w:val="008B1167"/>
    <w:rsid w:val="008B181A"/>
    <w:rsid w:val="008D1F16"/>
    <w:rsid w:val="008F05F6"/>
    <w:rsid w:val="008F278A"/>
    <w:rsid w:val="008F3EFE"/>
    <w:rsid w:val="00900B92"/>
    <w:rsid w:val="009062FD"/>
    <w:rsid w:val="00912292"/>
    <w:rsid w:val="00931EAA"/>
    <w:rsid w:val="0094452F"/>
    <w:rsid w:val="00957658"/>
    <w:rsid w:val="009A5BD6"/>
    <w:rsid w:val="009A622C"/>
    <w:rsid w:val="009A6884"/>
    <w:rsid w:val="009B4CEF"/>
    <w:rsid w:val="009B7AC2"/>
    <w:rsid w:val="009C1084"/>
    <w:rsid w:val="009C550C"/>
    <w:rsid w:val="009E0B55"/>
    <w:rsid w:val="009F5DE1"/>
    <w:rsid w:val="00A07229"/>
    <w:rsid w:val="00A111C5"/>
    <w:rsid w:val="00A226A2"/>
    <w:rsid w:val="00A336D0"/>
    <w:rsid w:val="00A4354D"/>
    <w:rsid w:val="00A535E2"/>
    <w:rsid w:val="00A545E8"/>
    <w:rsid w:val="00A84B3D"/>
    <w:rsid w:val="00A94714"/>
    <w:rsid w:val="00A96CCF"/>
    <w:rsid w:val="00AB219B"/>
    <w:rsid w:val="00AC2F8E"/>
    <w:rsid w:val="00B02BCB"/>
    <w:rsid w:val="00B138CD"/>
    <w:rsid w:val="00B26B64"/>
    <w:rsid w:val="00B443CB"/>
    <w:rsid w:val="00B628CF"/>
    <w:rsid w:val="00B73920"/>
    <w:rsid w:val="00B73F5C"/>
    <w:rsid w:val="00B74814"/>
    <w:rsid w:val="00B773E2"/>
    <w:rsid w:val="00B83F94"/>
    <w:rsid w:val="00BA24FE"/>
    <w:rsid w:val="00BA4E5A"/>
    <w:rsid w:val="00BA6176"/>
    <w:rsid w:val="00BB182A"/>
    <w:rsid w:val="00BB3F6B"/>
    <w:rsid w:val="00BD207C"/>
    <w:rsid w:val="00BE2AAA"/>
    <w:rsid w:val="00BF3DA1"/>
    <w:rsid w:val="00C21884"/>
    <w:rsid w:val="00C5011E"/>
    <w:rsid w:val="00C506D9"/>
    <w:rsid w:val="00C5300D"/>
    <w:rsid w:val="00C61815"/>
    <w:rsid w:val="00C76252"/>
    <w:rsid w:val="00C8197F"/>
    <w:rsid w:val="00C8789D"/>
    <w:rsid w:val="00C95129"/>
    <w:rsid w:val="00CA570C"/>
    <w:rsid w:val="00CA66AD"/>
    <w:rsid w:val="00CE754E"/>
    <w:rsid w:val="00D10D41"/>
    <w:rsid w:val="00D22B9A"/>
    <w:rsid w:val="00D353C8"/>
    <w:rsid w:val="00D37643"/>
    <w:rsid w:val="00D420DA"/>
    <w:rsid w:val="00D5187A"/>
    <w:rsid w:val="00D60E5E"/>
    <w:rsid w:val="00D663EC"/>
    <w:rsid w:val="00D70214"/>
    <w:rsid w:val="00D70472"/>
    <w:rsid w:val="00D758BD"/>
    <w:rsid w:val="00D839A3"/>
    <w:rsid w:val="00D91A23"/>
    <w:rsid w:val="00DA0050"/>
    <w:rsid w:val="00DA4910"/>
    <w:rsid w:val="00DB096E"/>
    <w:rsid w:val="00DB1F60"/>
    <w:rsid w:val="00DC0B66"/>
    <w:rsid w:val="00DC3162"/>
    <w:rsid w:val="00DC692E"/>
    <w:rsid w:val="00DD06B1"/>
    <w:rsid w:val="00DF085A"/>
    <w:rsid w:val="00DF6B5C"/>
    <w:rsid w:val="00E02034"/>
    <w:rsid w:val="00E05D05"/>
    <w:rsid w:val="00E13419"/>
    <w:rsid w:val="00E2376C"/>
    <w:rsid w:val="00E27A28"/>
    <w:rsid w:val="00E34232"/>
    <w:rsid w:val="00E37015"/>
    <w:rsid w:val="00E43B93"/>
    <w:rsid w:val="00E4544E"/>
    <w:rsid w:val="00E51F58"/>
    <w:rsid w:val="00E56605"/>
    <w:rsid w:val="00E6390E"/>
    <w:rsid w:val="00E6473C"/>
    <w:rsid w:val="00E86D66"/>
    <w:rsid w:val="00EA1247"/>
    <w:rsid w:val="00EB4051"/>
    <w:rsid w:val="00EC321C"/>
    <w:rsid w:val="00EC57C4"/>
    <w:rsid w:val="00ED11AD"/>
    <w:rsid w:val="00EE4A24"/>
    <w:rsid w:val="00F13359"/>
    <w:rsid w:val="00F61A7E"/>
    <w:rsid w:val="00F636C6"/>
    <w:rsid w:val="00F70B8C"/>
    <w:rsid w:val="00F7190C"/>
    <w:rsid w:val="00F84141"/>
    <w:rsid w:val="00F93E99"/>
    <w:rsid w:val="00FA15AF"/>
    <w:rsid w:val="00FA588B"/>
    <w:rsid w:val="00FB287B"/>
    <w:rsid w:val="00FB2899"/>
    <w:rsid w:val="00FB557F"/>
    <w:rsid w:val="00FE13C3"/>
    <w:rsid w:val="00FE2A96"/>
    <w:rsid w:val="00FF19F9"/>
    <w:rsid w:val="00FF1C2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E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3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663EC"/>
    <w:pPr>
      <w:spacing w:after="0" w:line="240" w:lineRule="auto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723B4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64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64F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4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390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0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472"/>
  </w:style>
  <w:style w:type="paragraph" w:styleId="Rodap">
    <w:name w:val="footer"/>
    <w:basedOn w:val="Normal"/>
    <w:link w:val="RodapChar"/>
    <w:uiPriority w:val="99"/>
    <w:unhideWhenUsed/>
    <w:rsid w:val="00D70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E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3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663EC"/>
    <w:pPr>
      <w:spacing w:after="0" w:line="240" w:lineRule="auto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723B4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64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64F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4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390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0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472"/>
  </w:style>
  <w:style w:type="paragraph" w:styleId="Rodap">
    <w:name w:val="footer"/>
    <w:basedOn w:val="Normal"/>
    <w:link w:val="RodapChar"/>
    <w:uiPriority w:val="99"/>
    <w:unhideWhenUsed/>
    <w:rsid w:val="00D70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o%20Ara&#250;jo\Documents\UFPB\Projetos%20univers\relatorios%20de%20monitoria%20estatistica\estatistica%20da%20monitor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o%20Ara&#250;jo\Downloads\Notas%20veterinaria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o%20Ara&#250;jo\Desktop\estatistica%20da%20monitor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o%20Ara&#250;jo\Downloads\Notas%20veterinaria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7993364037042514E-3"/>
          <c:w val="0.81627642427049574"/>
          <c:h val="0.96196767856848087"/>
        </c:manualLayout>
      </c:layout>
      <c:pie3DChart>
        <c:varyColors val="1"/>
        <c:ser>
          <c:idx val="0"/>
          <c:order val="0"/>
          <c:explosion val="29"/>
          <c:dLbls>
            <c:dLbl>
              <c:idx val="0"/>
              <c:layout>
                <c:manualLayout>
                  <c:x val="-0.14005008748906386"/>
                  <c:y val="2.6625109361329835E-2"/>
                </c:manualLayout>
              </c:layout>
              <c:tx>
                <c:rich>
                  <a:bodyPr/>
                  <a:lstStyle/>
                  <a:p>
                    <a:pPr>
                      <a:defRPr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37%</a:t>
                    </a:r>
                    <a:endParaRPr lang="en-US" sz="1000">
                      <a:solidFill>
                        <a:schemeClr val="bg1"/>
                      </a:solidFill>
                      <a:latin typeface="+mn-lt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533464566929133"/>
                  <c:y val="-0.14476633129192185"/>
                </c:manualLayout>
              </c:layout>
              <c:tx>
                <c:rich>
                  <a:bodyPr/>
                  <a:lstStyle/>
                  <a:p>
                    <a:pPr>
                      <a:defRPr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63%</a:t>
                    </a:r>
                    <a:endParaRPr lang="en-US" sz="1000">
                      <a:solidFill>
                        <a:schemeClr val="bg1"/>
                      </a:solidFill>
                      <a:latin typeface="+mn-lt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Plan1!$C$75:$C$76</c:f>
              <c:strCache>
                <c:ptCount val="2"/>
                <c:pt idx="0">
                  <c:v>com monitoria</c:v>
                </c:pt>
                <c:pt idx="1">
                  <c:v>sem monitoria</c:v>
                </c:pt>
              </c:strCache>
            </c:strRef>
          </c:cat>
          <c:val>
            <c:numRef>
              <c:f>Plan1!$D$75:$D$76</c:f>
              <c:numCache>
                <c:formatCode>0%</c:formatCode>
                <c:ptCount val="2"/>
                <c:pt idx="0">
                  <c:v>0.37</c:v>
                </c:pt>
                <c:pt idx="1">
                  <c:v>0.63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218909111775296E-5"/>
          <c:y val="2.8352596276342633E-3"/>
          <c:w val="0.88547355718466225"/>
          <c:h val="0.9971647403723656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931711972810495E-2"/>
                  <c:y val="2.3312470556565074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Plan1!$J$11:$J$12</c:f>
              <c:strCache>
                <c:ptCount val="2"/>
                <c:pt idx="0">
                  <c:v>com monitoria </c:v>
                </c:pt>
                <c:pt idx="1">
                  <c:v>sem monitoria</c:v>
                </c:pt>
              </c:strCache>
            </c:strRef>
          </c:cat>
          <c:val>
            <c:numRef>
              <c:f>Plan1!$K$11:$K$12</c:f>
              <c:numCache>
                <c:formatCode>General</c:formatCode>
                <c:ptCount val="2"/>
                <c:pt idx="0">
                  <c:v>25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7212858723238109"/>
          <c:y val="0.30751668089681566"/>
          <c:w val="0.22787133869907059"/>
          <c:h val="0.2725168390095816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066200058326037E-2"/>
          <c:y val="5.650137244294845E-2"/>
          <c:w val="0.87052975953763367"/>
          <c:h val="0.6165205886149477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1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Plan1!$P$19:$P$30</c:f>
              <c:strCache>
                <c:ptCount val="12"/>
                <c:pt idx="0">
                  <c:v>inic.do per</c:v>
                </c:pt>
                <c:pt idx="4">
                  <c:v>1° estágio</c:v>
                </c:pt>
                <c:pt idx="8">
                  <c:v>2° estágio</c:v>
                </c:pt>
                <c:pt idx="11">
                  <c:v>3° estágio</c:v>
                </c:pt>
              </c:strCache>
            </c:strRef>
          </c:cat>
          <c:val>
            <c:numRef>
              <c:f>Plan1!$Q$19:$Q$30</c:f>
              <c:numCache>
                <c:formatCode>0%</c:formatCode>
                <c:ptCount val="12"/>
                <c:pt idx="0">
                  <c:v>0.03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0.44</c:v>
                </c:pt>
                <c:pt idx="4">
                  <c:v>0.09</c:v>
                </c:pt>
                <c:pt idx="5">
                  <c:v>0.19</c:v>
                </c:pt>
                <c:pt idx="6">
                  <c:v>0.25</c:v>
                </c:pt>
                <c:pt idx="7">
                  <c:v>0.47</c:v>
                </c:pt>
                <c:pt idx="8">
                  <c:v>0.1</c:v>
                </c:pt>
                <c:pt idx="9">
                  <c:v>0.2</c:v>
                </c:pt>
                <c:pt idx="10">
                  <c:v>0.6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56224"/>
        <c:axId val="184362112"/>
      </c:barChart>
      <c:catAx>
        <c:axId val="184356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3300000"/>
          <a:lstStyle/>
          <a:p>
            <a:pPr>
              <a:defRPr b="0"/>
            </a:pPr>
            <a:endParaRPr lang="pt-BR"/>
          </a:p>
        </c:txPr>
        <c:crossAx val="184362112"/>
        <c:crosses val="autoZero"/>
        <c:auto val="1"/>
        <c:lblAlgn val="ctr"/>
        <c:lblOffset val="100"/>
        <c:noMultiLvlLbl val="0"/>
      </c:catAx>
      <c:valAx>
        <c:axId val="18436211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pt-BR"/>
          </a:p>
        </c:txPr>
        <c:crossAx val="1843562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73840769903761"/>
          <c:y val="3.1285199519551582E-2"/>
          <c:w val="0.89155949256342959"/>
          <c:h val="0.6242187448087976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1"/>
              <c:delete val="1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Plan1!$O$7:$O$18</c:f>
              <c:strCache>
                <c:ptCount val="12"/>
                <c:pt idx="0">
                  <c:v>inic. do per. </c:v>
                </c:pt>
                <c:pt idx="3">
                  <c:v>1° estagio</c:v>
                </c:pt>
                <c:pt idx="7">
                  <c:v>2° estagio</c:v>
                </c:pt>
                <c:pt idx="11">
                  <c:v>3° estagio</c:v>
                </c:pt>
              </c:strCache>
            </c:strRef>
          </c:cat>
          <c:val>
            <c:numRef>
              <c:f>Plan1!$P$7:$P$18</c:f>
              <c:numCache>
                <c:formatCode>0%</c:formatCode>
                <c:ptCount val="12"/>
                <c:pt idx="0">
                  <c:v>0.25</c:v>
                </c:pt>
                <c:pt idx="1">
                  <c:v>0.36</c:v>
                </c:pt>
                <c:pt idx="2">
                  <c:v>0.39</c:v>
                </c:pt>
                <c:pt idx="3">
                  <c:v>0.08</c:v>
                </c:pt>
                <c:pt idx="4">
                  <c:v>0.04</c:v>
                </c:pt>
                <c:pt idx="5">
                  <c:v>0.12</c:v>
                </c:pt>
                <c:pt idx="6">
                  <c:v>0.76</c:v>
                </c:pt>
                <c:pt idx="7">
                  <c:v>0.04</c:v>
                </c:pt>
                <c:pt idx="8">
                  <c:v>0.11</c:v>
                </c:pt>
                <c:pt idx="9">
                  <c:v>0.08</c:v>
                </c:pt>
                <c:pt idx="10">
                  <c:v>0.77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74016"/>
        <c:axId val="184375552"/>
      </c:barChart>
      <c:catAx>
        <c:axId val="184374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3300000"/>
          <a:lstStyle/>
          <a:p>
            <a:pPr>
              <a:defRPr/>
            </a:pPr>
            <a:endParaRPr lang="pt-BR"/>
          </a:p>
        </c:txPr>
        <c:crossAx val="184375552"/>
        <c:crosses val="autoZero"/>
        <c:auto val="1"/>
        <c:lblAlgn val="ctr"/>
        <c:lblOffset val="100"/>
        <c:noMultiLvlLbl val="0"/>
      </c:catAx>
      <c:valAx>
        <c:axId val="18437555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84374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2362459546925564E-2"/>
          <c:w val="0.68779073288915804"/>
          <c:h val="0.94293259074323021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explosion val="23"/>
          </c:dPt>
          <c:dPt>
            <c:idx val="2"/>
            <c:bubble3D val="0"/>
            <c:explosion val="41"/>
          </c:dPt>
          <c:dLbls>
            <c:dLbl>
              <c:idx val="0"/>
              <c:layout>
                <c:manualLayout>
                  <c:x val="-0.13715944881889763"/>
                  <c:y val="2.1272236803732868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42%</a:t>
                    </a:r>
                    <a:endParaRPr lang="en-US" sz="12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17%</a:t>
                    </a:r>
                    <a:endParaRPr lang="en-US" sz="12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481036745406823"/>
                  <c:y val="2.8216681248177312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39%</a:t>
                    </a:r>
                    <a:endParaRPr lang="en-US" sz="12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851971089820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2%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Plan1!$C$69:$C$72</c:f>
              <c:strCache>
                <c:ptCount val="4"/>
                <c:pt idx="0">
                  <c:v>reprovado por falta</c:v>
                </c:pt>
                <c:pt idx="1">
                  <c:v>reprovado</c:v>
                </c:pt>
                <c:pt idx="2">
                  <c:v>aprovado</c:v>
                </c:pt>
                <c:pt idx="3">
                  <c:v>trancado</c:v>
                </c:pt>
              </c:strCache>
            </c:strRef>
          </c:cat>
          <c:val>
            <c:numRef>
              <c:f>Plan1!$D$69:$D$72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  <c:pt idx="2">
                  <c:v>23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812539031622707"/>
          <c:y val="0.23721525550046985"/>
          <c:w val="0.20545198073202581"/>
          <c:h val="0.55849129969864875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30442237433885E-2"/>
          <c:y val="6.3976810590983813E-2"/>
          <c:w val="0.67985409911996286"/>
          <c:h val="0.89032736292578807"/>
        </c:manualLayout>
      </c:layout>
      <c:pie3DChart>
        <c:varyColors val="1"/>
        <c:ser>
          <c:idx val="0"/>
          <c:order val="0"/>
          <c:explosion val="21"/>
          <c:dPt>
            <c:idx val="2"/>
            <c:bubble3D val="0"/>
            <c:explosion val="3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58%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14%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25%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Plan1!$J$29:$J$32</c:f>
              <c:strCache>
                <c:ptCount val="4"/>
                <c:pt idx="0">
                  <c:v>aprovado</c:v>
                </c:pt>
                <c:pt idx="1">
                  <c:v>trancado</c:v>
                </c:pt>
                <c:pt idx="2">
                  <c:v>reprovado</c:v>
                </c:pt>
                <c:pt idx="3">
                  <c:v>reprovado por falta</c:v>
                </c:pt>
              </c:strCache>
            </c:strRef>
          </c:cat>
          <c:val>
            <c:numRef>
              <c:f>Plan1!$K$29:$K$32</c:f>
              <c:numCache>
                <c:formatCode>General</c:formatCode>
                <c:ptCount val="4"/>
                <c:pt idx="0">
                  <c:v>21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7932293185574022"/>
          <c:y val="0.32554089974421985"/>
          <c:w val="0.32067706814425972"/>
          <c:h val="0.50178377384355621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2F1B-66FF-44A3-86CD-6B4F7539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Araújo</dc:creator>
  <cp:lastModifiedBy>Elizanild</cp:lastModifiedBy>
  <cp:revision>2</cp:revision>
  <dcterms:created xsi:type="dcterms:W3CDTF">2013-10-25T19:10:00Z</dcterms:created>
  <dcterms:modified xsi:type="dcterms:W3CDTF">2013-10-25T19:10:00Z</dcterms:modified>
</cp:coreProperties>
</file>